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F0F4"/>
  <w:body>
    <w:p w14:paraId="43E60CB8" w14:textId="77777777" w:rsidR="007D7782" w:rsidRPr="006D76CD" w:rsidRDefault="007D7782" w:rsidP="007D7782">
      <w:pPr>
        <w:pStyle w:val="Heading1"/>
      </w:pPr>
      <w:r w:rsidRPr="006D76CD">
        <w:t>Germany</w:t>
      </w:r>
    </w:p>
    <w:p w14:paraId="43E60CB9" w14:textId="77777777" w:rsidR="007D7782" w:rsidRPr="006D76CD" w:rsidRDefault="007D7782" w:rsidP="008C1578">
      <w:pPr>
        <w:pStyle w:val="CIAEtext"/>
        <w:spacing w:after="280"/>
      </w:pPr>
      <w:r w:rsidRPr="006D76CD">
        <w:t>Germany has the fourth largest economy in the world, after the United States, China and Japan.  Following a major downturn in 2009, after the global economic crisis, the German economy has grown at an average rate of 2.1% since 2010.  The unemployment rate in 2018 was 3.4%.  Germany accounts for almost one fifth of EU energy use.</w:t>
      </w:r>
    </w:p>
    <w:p w14:paraId="43E60CBA" w14:textId="77777777" w:rsidR="007D7782" w:rsidRPr="006D76CD" w:rsidRDefault="007D7782" w:rsidP="008C1578">
      <w:pPr>
        <w:pStyle w:val="CIAEtext"/>
        <w:spacing w:after="280"/>
      </w:pPr>
      <w:r w:rsidRPr="006D76CD">
        <w:t xml:space="preserve">Germany has considerable reserves of lignite, making it one of the country’s most important indigenous sources of energy.  There are long-term prospects </w:t>
      </w:r>
      <w:r w:rsidR="001609CD">
        <w:t xml:space="preserve">to mine </w:t>
      </w:r>
      <w:r w:rsidRPr="006D76CD">
        <w:t xml:space="preserve">about 4 billion tonnes of </w:t>
      </w:r>
      <w:r w:rsidR="001759A2">
        <w:t xml:space="preserve">lignite </w:t>
      </w:r>
      <w:r w:rsidRPr="006D76CD">
        <w:t xml:space="preserve">reserves </w:t>
      </w:r>
      <w:r w:rsidR="001609CD">
        <w:t>at</w:t>
      </w:r>
      <w:r w:rsidRPr="006D76CD">
        <w:t xml:space="preserve"> existing and approved surface mines.  The last two hard coal mines were closed </w:t>
      </w:r>
      <w:r w:rsidR="001609CD">
        <w:t xml:space="preserve">in December </w:t>
      </w:r>
      <w:r w:rsidRPr="006D76CD">
        <w:t xml:space="preserve">2018, following a political decision </w:t>
      </w:r>
      <w:r w:rsidR="001609CD">
        <w:t xml:space="preserve">ten years earlier </w:t>
      </w:r>
      <w:r w:rsidRPr="006D76CD">
        <w:t>to end subsidised German hard coal production.</w:t>
      </w:r>
    </w:p>
    <w:p w14:paraId="43E60CBB" w14:textId="77777777" w:rsidR="007D7782" w:rsidRPr="006D76CD" w:rsidRDefault="007D7782" w:rsidP="008C1578">
      <w:pPr>
        <w:pStyle w:val="CIAEtext"/>
        <w:spacing w:after="280"/>
      </w:pPr>
      <w:r w:rsidRPr="006D76CD">
        <w:t>In 2018, primary energy production totalled 160.9 million tonnes of coal equivalent (</w:t>
      </w:r>
      <w:proofErr w:type="spellStart"/>
      <w:r w:rsidRPr="006D76CD">
        <w:t>Mtce</w:t>
      </w:r>
      <w:proofErr w:type="spellEnd"/>
      <w:r w:rsidRPr="006D76CD">
        <w:t>).  With an output of 54.0 </w:t>
      </w:r>
      <w:proofErr w:type="spellStart"/>
      <w:r w:rsidRPr="006D76CD">
        <w:t>Mtce</w:t>
      </w:r>
      <w:proofErr w:type="spellEnd"/>
      <w:r w:rsidRPr="006D76CD">
        <w:t>, coal and lignite had a share of 33.6%.  The mix of indigenous primary energy production can be broken down as follows:  51.4 </w:t>
      </w:r>
      <w:proofErr w:type="spellStart"/>
      <w:r w:rsidRPr="006D76CD">
        <w:t>Mtce</w:t>
      </w:r>
      <w:proofErr w:type="spellEnd"/>
      <w:r w:rsidRPr="006D76CD">
        <w:t xml:space="preserve"> of lignite (32.0%), 2.6 </w:t>
      </w:r>
      <w:proofErr w:type="spellStart"/>
      <w:r w:rsidRPr="006D76CD">
        <w:t>Mtce</w:t>
      </w:r>
      <w:proofErr w:type="spellEnd"/>
      <w:r w:rsidRPr="006D76CD">
        <w:t xml:space="preserve"> of hard coal (1.6%), 10.1 </w:t>
      </w:r>
      <w:proofErr w:type="spellStart"/>
      <w:r w:rsidRPr="006D76CD">
        <w:t>Mtce</w:t>
      </w:r>
      <w:proofErr w:type="spellEnd"/>
      <w:r w:rsidRPr="006D76CD">
        <w:t xml:space="preserve"> of oil and </w:t>
      </w:r>
      <w:r w:rsidR="00EF6956">
        <w:t xml:space="preserve">fossil </w:t>
      </w:r>
      <w:r w:rsidRPr="006D76CD">
        <w:t>gas (6.3%), 28.3 </w:t>
      </w:r>
      <w:proofErr w:type="spellStart"/>
      <w:r w:rsidRPr="006D76CD">
        <w:t>Mtce</w:t>
      </w:r>
      <w:proofErr w:type="spellEnd"/>
      <w:r w:rsidRPr="006D76CD">
        <w:t xml:space="preserve"> of nuclear power (17.6%) and 68.5 </w:t>
      </w:r>
      <w:proofErr w:type="spellStart"/>
      <w:r w:rsidRPr="006D76CD">
        <w:t>Mtce</w:t>
      </w:r>
      <w:proofErr w:type="spellEnd"/>
      <w:r w:rsidRPr="006D76CD">
        <w:t xml:space="preserve"> of renewable energy and other fuels (42.6%).</w:t>
      </w:r>
    </w:p>
    <w:p w14:paraId="43E60CBC" w14:textId="77777777" w:rsidR="007D7782" w:rsidRPr="006D76CD" w:rsidRDefault="007D7782" w:rsidP="008C1578">
      <w:pPr>
        <w:pStyle w:val="CIAEtext"/>
        <w:spacing w:after="280"/>
      </w:pPr>
      <w:r w:rsidRPr="006D76CD">
        <w:t>Germany’s primary energy consumption amounted to 447.2 </w:t>
      </w:r>
      <w:proofErr w:type="spellStart"/>
      <w:r w:rsidRPr="006D76CD">
        <w:t>Mtce</w:t>
      </w:r>
      <w:proofErr w:type="spellEnd"/>
      <w:r w:rsidRPr="006D76CD">
        <w:t xml:space="preserve"> in 2018.  Oil accounted for the largest share (34.0%), followed by </w:t>
      </w:r>
      <w:r w:rsidR="001A50C2">
        <w:t xml:space="preserve">fossil </w:t>
      </w:r>
      <w:r w:rsidRPr="006D76CD">
        <w:t xml:space="preserve">gas (23.4%), coal (22.2%), renewables (13.8%) and nuclear energy (6.3%).  Within the figure for coal, hard coal accounted for 10.9% and lignite for 11.3% of total primary energy consumption.  Germany is dependent on energy imports to a large extent, except in the cases of lignite and renewable energy.  About 94% of hard coal supply was imported in 2018 and, </w:t>
      </w:r>
      <w:r w:rsidR="00D1715D">
        <w:t>since</w:t>
      </w:r>
      <w:r w:rsidRPr="006D76CD">
        <w:t xml:space="preserve"> 2019, Germany </w:t>
      </w:r>
      <w:r w:rsidR="00D1715D">
        <w:t xml:space="preserve">has </w:t>
      </w:r>
      <w:r w:rsidRPr="006D76CD">
        <w:t>depend</w:t>
      </w:r>
      <w:r w:rsidR="00D1715D">
        <w:t>ed</w:t>
      </w:r>
      <w:r w:rsidRPr="006D76CD">
        <w:t xml:space="preserve"> entirely on imported hard coal.  The country’s overall energy import dependence was 63.6% in 2018.</w:t>
      </w:r>
    </w:p>
    <w:p w14:paraId="43E60CBD" w14:textId="77777777" w:rsidR="007D7782" w:rsidRPr="006D76CD" w:rsidRDefault="007D7782" w:rsidP="008C1578">
      <w:pPr>
        <w:pStyle w:val="CIAEtext"/>
        <w:spacing w:after="340"/>
      </w:pPr>
      <w:r w:rsidRPr="006D76CD">
        <w:t>The power generation structure is characterised by a diversified energy mix.  In 2018, Germany’s gross power generation of 646.8 </w:t>
      </w:r>
      <w:proofErr w:type="spellStart"/>
      <w:r w:rsidRPr="006D76CD">
        <w:t>TWh</w:t>
      </w:r>
      <w:proofErr w:type="spellEnd"/>
      <w:r w:rsidRPr="006D76CD">
        <w:t xml:space="preserve"> was produced as follows:  35.4% from coal (of which 22.5% was from lignite and 12.9% from hard coal), 35.0% from renewable energy sources, 12.9% from </w:t>
      </w:r>
      <w:r w:rsidR="001A50C2">
        <w:t xml:space="preserve">fossil </w:t>
      </w:r>
      <w:r w:rsidRPr="006D76CD">
        <w:t>gas, 11.8% from nuclear and 4.1% from other sources.  Thus, hard coal and lignite, along with nuclear power, are still the mainstays of the German power industry.</w:t>
      </w:r>
    </w:p>
    <w:p w14:paraId="43E60CBE" w14:textId="77777777" w:rsidR="008C1578" w:rsidRDefault="007D7782" w:rsidP="008C1578">
      <w:pPr>
        <w:pStyle w:val="CIAEtext"/>
      </w:pPr>
      <w:r w:rsidRPr="006D76CD">
        <w:t xml:space="preserve">Since 2011, the German government and parliament </w:t>
      </w:r>
      <w:r w:rsidR="00257F20">
        <w:t xml:space="preserve">have </w:t>
      </w:r>
      <w:r w:rsidRPr="006D76CD">
        <w:t xml:space="preserve">decided on a package of several new or amended energy laws and further political measures to foster change in the energy sector.  This fundamental, long-term change is known as the </w:t>
      </w:r>
      <w:proofErr w:type="spellStart"/>
      <w:r w:rsidRPr="006D76CD">
        <w:rPr>
          <w:i/>
        </w:rPr>
        <w:t>Energiewende</w:t>
      </w:r>
      <w:proofErr w:type="spellEnd"/>
      <w:r w:rsidRPr="006D76CD">
        <w:t xml:space="preserve"> or “energy transition” to renewable energy </w:t>
      </w:r>
      <w:r w:rsidR="00257F20">
        <w:t xml:space="preserve">sources </w:t>
      </w:r>
      <w:r w:rsidRPr="006D76CD">
        <w:t>and includes the phase-out of nuclear power generation in Germany by the end of 2022.</w:t>
      </w:r>
    </w:p>
    <w:p w14:paraId="43E60CBF" w14:textId="77777777" w:rsidR="007D7782" w:rsidRPr="006D76CD" w:rsidRDefault="007D7782" w:rsidP="008C1578">
      <w:pPr>
        <w:pStyle w:val="CIAEflag"/>
      </w:pPr>
      <w:r w:rsidRPr="006D76CD">
        <w:rPr>
          <w:noProof/>
          <w:lang w:eastAsia="en-GB"/>
        </w:rPr>
        <w:drawing>
          <wp:inline distT="0" distB="0" distL="0" distR="0" wp14:anchorId="43E61983" wp14:editId="43E61984">
            <wp:extent cx="1198800" cy="900000"/>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many_round_icon_640.jpg"/>
                    <pic:cNvPicPr/>
                  </pic:nvPicPr>
                  <pic:blipFill>
                    <a:blip r:embed="rId8">
                      <a:extLst>
                        <a:ext uri="{28A0092B-C50C-407E-A947-70E740481C1C}">
                          <a14:useLocalDpi xmlns:a14="http://schemas.microsoft.com/office/drawing/2010/main" val="0"/>
                        </a:ext>
                      </a:extLst>
                    </a:blip>
                    <a:stretch>
                      <a:fillRect/>
                    </a:stretch>
                  </pic:blipFill>
                  <pic:spPr>
                    <a:xfrm>
                      <a:off x="0" y="0"/>
                      <a:ext cx="1198800" cy="900000"/>
                    </a:xfrm>
                    <a:prstGeom prst="rect">
                      <a:avLst/>
                    </a:prstGeom>
                  </pic:spPr>
                </pic:pic>
              </a:graphicData>
            </a:graphic>
          </wp:inline>
        </w:drawing>
      </w:r>
    </w:p>
    <w:p w14:paraId="43E60CC0" w14:textId="77777777" w:rsidR="007D7782" w:rsidRPr="006D76CD" w:rsidRDefault="007D7782" w:rsidP="007D7782">
      <w:pPr>
        <w:pStyle w:val="CIAEmap"/>
      </w:pPr>
      <w:r w:rsidRPr="006D76CD">
        <w:rPr>
          <w:noProof/>
          <w:lang w:eastAsia="en-GB"/>
        </w:rPr>
        <w:drawing>
          <wp:inline distT="0" distB="0" distL="0" distR="0" wp14:anchorId="43E61985" wp14:editId="43E61986">
            <wp:extent cx="3095625" cy="4219773"/>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95625" cy="4219773"/>
                    </a:xfrm>
                    <a:prstGeom prst="rect">
                      <a:avLst/>
                    </a:prstGeom>
                  </pic:spPr>
                </pic:pic>
              </a:graphicData>
            </a:graphic>
          </wp:inline>
        </w:drawing>
      </w:r>
    </w:p>
    <w:p w14:paraId="43E60CC1" w14:textId="77777777" w:rsidR="007D7782" w:rsidRPr="006D76CD" w:rsidRDefault="007D7782" w:rsidP="007D7782">
      <w:pPr>
        <w:pStyle w:val="CIAEtablespace"/>
      </w:pPr>
    </w:p>
    <w:p w14:paraId="43E60CC2" w14:textId="77777777" w:rsidR="007D7782" w:rsidRPr="006D76CD" w:rsidRDefault="007D7782" w:rsidP="007D7782">
      <w:pPr>
        <w:pStyle w:val="CIAEtablespace"/>
      </w:pPr>
    </w:p>
    <w:tbl>
      <w:tblPr>
        <w:tblStyle w:val="Generaldata"/>
        <w:tblW w:w="4875" w:type="dxa"/>
        <w:tblLook w:val="01E0" w:firstRow="1" w:lastRow="1" w:firstColumn="1" w:lastColumn="1" w:noHBand="0" w:noVBand="0"/>
      </w:tblPr>
      <w:tblGrid>
        <w:gridCol w:w="2721"/>
        <w:gridCol w:w="1020"/>
        <w:gridCol w:w="1134"/>
      </w:tblGrid>
      <w:tr w:rsidR="007D7782" w:rsidRPr="006D76CD" w14:paraId="43E60CC6" w14:textId="77777777" w:rsidTr="00ED51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CC3" w14:textId="77777777" w:rsidR="007D7782" w:rsidRPr="006D76CD" w:rsidRDefault="007D7782" w:rsidP="00E723D3">
            <w:r w:rsidRPr="006D76CD">
              <w:t>General data</w:t>
            </w:r>
          </w:p>
        </w:tc>
        <w:tc>
          <w:tcPr>
            <w:tcW w:w="1020" w:type="dxa"/>
          </w:tcPr>
          <w:p w14:paraId="43E60CC4" w14:textId="77777777" w:rsidR="007D7782" w:rsidRPr="006D76CD" w:rsidRDefault="007D7782" w:rsidP="00E723D3">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CC5" w14:textId="77777777" w:rsidR="007D7782" w:rsidRPr="006D76CD" w:rsidRDefault="007D7782" w:rsidP="00E723D3">
            <w:r w:rsidRPr="006D76CD">
              <w:t>2018</w:t>
            </w:r>
          </w:p>
        </w:tc>
      </w:tr>
      <w:tr w:rsidR="007D7782" w:rsidRPr="006D76CD" w14:paraId="43E60CCA" w14:textId="77777777" w:rsidTr="00ED5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CC7" w14:textId="77777777" w:rsidR="007D7782" w:rsidRPr="006D76CD" w:rsidRDefault="007D7782" w:rsidP="00E723D3">
            <w:r w:rsidRPr="006D76CD">
              <w:t>Population</w:t>
            </w:r>
          </w:p>
        </w:tc>
        <w:tc>
          <w:tcPr>
            <w:tcW w:w="1020" w:type="dxa"/>
          </w:tcPr>
          <w:p w14:paraId="43E60CC8" w14:textId="77777777" w:rsidR="007D7782" w:rsidRPr="006D76CD" w:rsidRDefault="007D7782" w:rsidP="00E723D3">
            <w:pPr>
              <w:cnfStyle w:val="000000100000" w:firstRow="0" w:lastRow="0" w:firstColumn="0" w:lastColumn="0" w:oddVBand="0" w:evenVBand="0" w:oddHBand="1" w:evenHBand="0" w:firstRowFirstColumn="0" w:firstRowLastColumn="0" w:lastRowFirstColumn="0" w:lastRowLastColumn="0"/>
            </w:pPr>
            <w:r w:rsidRPr="006D76CD">
              <w:t>million</w:t>
            </w:r>
          </w:p>
        </w:tc>
        <w:tc>
          <w:tcPr>
            <w:cnfStyle w:val="000100000000" w:firstRow="0" w:lastRow="0" w:firstColumn="0" w:lastColumn="1" w:oddVBand="0" w:evenVBand="0" w:oddHBand="0" w:evenHBand="0" w:firstRowFirstColumn="0" w:firstRowLastColumn="0" w:lastRowFirstColumn="0" w:lastRowLastColumn="0"/>
            <w:tcW w:w="1134" w:type="dxa"/>
          </w:tcPr>
          <w:p w14:paraId="43E60CC9" w14:textId="77777777" w:rsidR="007D7782" w:rsidRPr="006D76CD" w:rsidRDefault="007D7782" w:rsidP="00E723D3">
            <w:r w:rsidRPr="006D76CD">
              <w:t>82.8</w:t>
            </w:r>
          </w:p>
        </w:tc>
      </w:tr>
      <w:tr w:rsidR="007D7782" w:rsidRPr="006D76CD" w14:paraId="43E60CCE" w14:textId="77777777" w:rsidTr="00ED510C">
        <w:tc>
          <w:tcPr>
            <w:cnfStyle w:val="001000000000" w:firstRow="0" w:lastRow="0" w:firstColumn="1" w:lastColumn="0" w:oddVBand="0" w:evenVBand="0" w:oddHBand="0" w:evenHBand="0" w:firstRowFirstColumn="0" w:firstRowLastColumn="0" w:lastRowFirstColumn="0" w:lastRowLastColumn="0"/>
            <w:tcW w:w="2721" w:type="dxa"/>
          </w:tcPr>
          <w:p w14:paraId="43E60CCB" w14:textId="77777777" w:rsidR="007D7782" w:rsidRPr="006D76CD" w:rsidRDefault="007D7782" w:rsidP="00E723D3">
            <w:r w:rsidRPr="006D76CD">
              <w:t>GDP</w:t>
            </w:r>
          </w:p>
        </w:tc>
        <w:tc>
          <w:tcPr>
            <w:tcW w:w="1020" w:type="dxa"/>
          </w:tcPr>
          <w:p w14:paraId="43E60CCC" w14:textId="77777777" w:rsidR="007D7782" w:rsidRPr="006D76CD" w:rsidRDefault="007D7782" w:rsidP="00E723D3">
            <w:pPr>
              <w:cnfStyle w:val="000000000000" w:firstRow="0" w:lastRow="0" w:firstColumn="0" w:lastColumn="0" w:oddVBand="0" w:evenVBand="0" w:oddHBand="0" w:evenHBand="0" w:firstRowFirstColumn="0" w:firstRowLastColumn="0" w:lastRowFirstColumn="0" w:lastRowLastColumn="0"/>
            </w:pPr>
            <w:r w:rsidRPr="006D76CD">
              <w:t>€ billion</w:t>
            </w:r>
          </w:p>
        </w:tc>
        <w:tc>
          <w:tcPr>
            <w:cnfStyle w:val="000100000000" w:firstRow="0" w:lastRow="0" w:firstColumn="0" w:lastColumn="1" w:oddVBand="0" w:evenVBand="0" w:oddHBand="0" w:evenHBand="0" w:firstRowFirstColumn="0" w:firstRowLastColumn="0" w:lastRowFirstColumn="0" w:lastRowLastColumn="0"/>
            <w:tcW w:w="1134" w:type="dxa"/>
          </w:tcPr>
          <w:p w14:paraId="43E60CCD" w14:textId="77777777" w:rsidR="007D7782" w:rsidRPr="006D76CD" w:rsidRDefault="007D7782" w:rsidP="00E723D3">
            <w:r w:rsidRPr="006D76CD">
              <w:t>3 344.4</w:t>
            </w:r>
          </w:p>
        </w:tc>
      </w:tr>
      <w:tr w:rsidR="007D7782" w:rsidRPr="006D76CD" w14:paraId="43E60CD2" w14:textId="77777777" w:rsidTr="00ED510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0CCF" w14:textId="77777777" w:rsidR="007D7782" w:rsidRPr="006D76CD" w:rsidRDefault="007D7782" w:rsidP="00E723D3">
            <w:r w:rsidRPr="006D76CD">
              <w:t>Per capita GDP</w:t>
            </w:r>
          </w:p>
        </w:tc>
        <w:tc>
          <w:tcPr>
            <w:tcW w:w="1020" w:type="dxa"/>
            <w:shd w:val="clear" w:color="auto" w:fill="FFFFFF" w:themeFill="background1"/>
          </w:tcPr>
          <w:p w14:paraId="43E60CD0" w14:textId="77777777" w:rsidR="007D7782" w:rsidRPr="006D76CD" w:rsidRDefault="007D7782" w:rsidP="00E723D3">
            <w:pPr>
              <w:cnfStyle w:val="010000000000" w:firstRow="0" w:lastRow="1" w:firstColumn="0" w:lastColumn="0" w:oddVBand="0" w:evenVBand="0" w:oddHBand="0" w:evenHBand="0" w:firstRowFirstColumn="0" w:firstRowLastColumn="0" w:lastRowFirstColumn="0" w:lastRowLastColumn="0"/>
            </w:pPr>
            <w:r w:rsidRPr="006D76CD">
              <w:t>€/person</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0CD1" w14:textId="77777777" w:rsidR="007D7782" w:rsidRPr="006D76CD" w:rsidRDefault="007D7782" w:rsidP="00E723D3">
            <w:r w:rsidRPr="006D76CD">
              <w:t>40 300</w:t>
            </w:r>
          </w:p>
        </w:tc>
      </w:tr>
    </w:tbl>
    <w:p w14:paraId="43E60CD3" w14:textId="77777777" w:rsidR="007D7782" w:rsidRPr="006D76CD" w:rsidRDefault="007D7782" w:rsidP="007D7782">
      <w:pPr>
        <w:pStyle w:val="CIAEtablespace"/>
      </w:pPr>
    </w:p>
    <w:p w14:paraId="43E60CD4" w14:textId="77777777" w:rsidR="007D7782" w:rsidRPr="006D76CD" w:rsidRDefault="007D7782" w:rsidP="007D7782">
      <w:pPr>
        <w:pStyle w:val="CIAEtablespace"/>
      </w:pPr>
    </w:p>
    <w:p w14:paraId="43E60CD5" w14:textId="77777777" w:rsidR="007D7782" w:rsidRPr="006D76CD" w:rsidRDefault="007D7782" w:rsidP="007D7782">
      <w:pPr>
        <w:pStyle w:val="CIAEtablespace"/>
      </w:pPr>
    </w:p>
    <w:p w14:paraId="43E60CD6" w14:textId="77777777" w:rsidR="007D7782" w:rsidRPr="006D76CD" w:rsidRDefault="007D7782" w:rsidP="007D7782">
      <w:pPr>
        <w:pStyle w:val="CIAEtext"/>
      </w:pPr>
      <w:r w:rsidRPr="006D76CD">
        <w:t>In November 2016, the federal government agreed a “Climate Protection Plan 2050” (</w:t>
      </w:r>
      <w:proofErr w:type="spellStart"/>
      <w:r w:rsidRPr="006D76CD">
        <w:rPr>
          <w:i/>
        </w:rPr>
        <w:t>Klimaschutzplan</w:t>
      </w:r>
      <w:proofErr w:type="spellEnd"/>
      <w:r w:rsidRPr="006D76CD">
        <w:rPr>
          <w:i/>
        </w:rPr>
        <w:t xml:space="preserve"> 2050</w:t>
      </w:r>
      <w:r w:rsidRPr="006D76CD">
        <w:t>) which sets out strategies to reduce greenhouse gas emissions by 55% by 2030 compared with 1990 and by 80% to 95% by 2050.  The plan provides for specific reduction targets for each sector for 2030:  61% to 62% for the energy sector.  To ensure that implementation of the plan is not uniquely detrimental to the coal-producing regions, the governing parties (CDU/CSU and SPD) decided in their 2018 coalition agreement to establish a “Growth, Structural Change and Employment” Commission</w:t>
      </w:r>
      <w:r w:rsidR="003532E1">
        <w:t>”</w:t>
      </w:r>
      <w:r w:rsidRPr="006D76CD">
        <w:t>.</w:t>
      </w:r>
    </w:p>
    <w:p w14:paraId="43E60CD7" w14:textId="77777777" w:rsidR="007D7782" w:rsidRPr="006D76CD" w:rsidRDefault="007D7782" w:rsidP="007D7782">
      <w:pPr>
        <w:pStyle w:val="CIAEtext"/>
      </w:pPr>
      <w:r w:rsidRPr="006D76CD">
        <w:t xml:space="preserve">This commission was appointed in June 2018. </w:t>
      </w:r>
      <w:r w:rsidR="00257F20">
        <w:t xml:space="preserve"> </w:t>
      </w:r>
      <w:r w:rsidRPr="006D76CD">
        <w:t xml:space="preserve">In late January 2019, it presented </w:t>
      </w:r>
      <w:r w:rsidR="00257F20">
        <w:t>its</w:t>
      </w:r>
      <w:r w:rsidRPr="006D76CD">
        <w:t xml:space="preserve"> final report which </w:t>
      </w:r>
      <w:r w:rsidRPr="00041451">
        <w:rPr>
          <w:i/>
        </w:rPr>
        <w:t>inter alia</w:t>
      </w:r>
      <w:r w:rsidRPr="006D76CD">
        <w:t xml:space="preserve"> includes recommendations for the gradual reduction and </w:t>
      </w:r>
      <w:r w:rsidRPr="006D76CD">
        <w:lastRenderedPageBreak/>
        <w:t xml:space="preserve">eventual phase out of </w:t>
      </w:r>
      <w:r w:rsidR="00257F20">
        <w:t xml:space="preserve">all </w:t>
      </w:r>
      <w:r w:rsidRPr="006D76CD">
        <w:t>coal-fired power generation in Germany.  According to the commission’s report, a reduction in the installed capacity of lignite and hard coal power plants, to about 15 GW each, should be made by 2022.  Compared with the end of 2017</w:t>
      </w:r>
      <w:r w:rsidR="00257F20">
        <w:t xml:space="preserve">, when </w:t>
      </w:r>
      <w:r w:rsidRPr="006D76CD">
        <w:t xml:space="preserve">coal capacity </w:t>
      </w:r>
      <w:r w:rsidR="00257F20">
        <w:t xml:space="preserve">totalled </w:t>
      </w:r>
      <w:r w:rsidRPr="006D76CD">
        <w:t>42</w:t>
      </w:r>
      <w:r w:rsidR="00257F20">
        <w:t>.</w:t>
      </w:r>
      <w:r w:rsidRPr="006D76CD">
        <w:t>5</w:t>
      </w:r>
      <w:r w:rsidR="00257F20">
        <w:t> </w:t>
      </w:r>
      <w:r w:rsidRPr="006D76CD">
        <w:t>GW, this means a decline of almost 5 GW for lignite-fired power plants and of 7.7 GW for hard coal-fired power plants.  By 2030, the installed capacity of coal-fired power plants (outside of reserves) is to be reduced to a maximum of 9 GW for lignite and 8 GW for hard coal.</w:t>
      </w:r>
    </w:p>
    <w:p w14:paraId="43E60CD8" w14:textId="77777777" w:rsidR="007D7782" w:rsidRPr="006D76CD" w:rsidRDefault="007D7782" w:rsidP="007D7782">
      <w:pPr>
        <w:pStyle w:val="CIAEtext"/>
      </w:pPr>
      <w:r w:rsidRPr="006D76CD">
        <w:t>In addition, the commission recommends a complete phase</w:t>
      </w:r>
      <w:r w:rsidR="008D008F">
        <w:t>-</w:t>
      </w:r>
      <w:r w:rsidRPr="006D76CD">
        <w:t>out of coal-fired power generation in Germany by the end of 2038 – more than ten years earlier than planned.</w:t>
      </w:r>
      <w:r w:rsidR="005809A5">
        <w:t xml:space="preserve"> </w:t>
      </w:r>
      <w:r w:rsidRPr="006D76CD">
        <w:t xml:space="preserve"> This </w:t>
      </w:r>
      <w:r w:rsidR="008D008F">
        <w:t xml:space="preserve">coal phase-out </w:t>
      </w:r>
      <w:r w:rsidRPr="006D76CD">
        <w:t xml:space="preserve">is </w:t>
      </w:r>
      <w:r w:rsidR="008D008F">
        <w:t xml:space="preserve">to be </w:t>
      </w:r>
      <w:r w:rsidRPr="006D76CD">
        <w:t xml:space="preserve">linked to </w:t>
      </w:r>
      <w:proofErr w:type="gramStart"/>
      <w:r w:rsidRPr="006D76CD">
        <w:t>a number of</w:t>
      </w:r>
      <w:proofErr w:type="gramEnd"/>
      <w:r w:rsidRPr="006D76CD">
        <w:t xml:space="preserve"> energy </w:t>
      </w:r>
      <w:r w:rsidR="00CA78F6">
        <w:t xml:space="preserve">security </w:t>
      </w:r>
      <w:r w:rsidRPr="006D76CD">
        <w:t>and social policy conditions</w:t>
      </w:r>
      <w:r w:rsidR="008D008F">
        <w:t xml:space="preserve"> which </w:t>
      </w:r>
      <w:r w:rsidRPr="006D76CD">
        <w:t xml:space="preserve">will be verified in 2023, 2026 and 2029.  Insofar as </w:t>
      </w:r>
      <w:r w:rsidR="00FF0D77">
        <w:t xml:space="preserve">certain </w:t>
      </w:r>
      <w:r w:rsidRPr="006D76CD">
        <w:t xml:space="preserve">prerequisites are met </w:t>
      </w:r>
      <w:proofErr w:type="gramStart"/>
      <w:r w:rsidRPr="006D76CD">
        <w:t>with regard to</w:t>
      </w:r>
      <w:proofErr w:type="gramEnd"/>
      <w:r w:rsidRPr="006D76CD">
        <w:t xml:space="preserve"> energy</w:t>
      </w:r>
      <w:r w:rsidR="00CA78F6">
        <w:t>-intensive</w:t>
      </w:r>
      <w:r w:rsidRPr="006D76CD">
        <w:t xml:space="preserve"> industr</w:t>
      </w:r>
      <w:r w:rsidR="004A101A">
        <w:t>ies</w:t>
      </w:r>
      <w:r w:rsidRPr="006D76CD">
        <w:t xml:space="preserve">, </w:t>
      </w:r>
      <w:r w:rsidR="00CA78F6">
        <w:t xml:space="preserve">regional </w:t>
      </w:r>
      <w:r w:rsidRPr="006D76CD">
        <w:t xml:space="preserve">employment and economic </w:t>
      </w:r>
      <w:r w:rsidR="00CA78F6">
        <w:t>competitiveness</w:t>
      </w:r>
      <w:r w:rsidRPr="006D76CD">
        <w:t>, the date for the final phase-out may be set earlier than 2038</w:t>
      </w:r>
      <w:r w:rsidR="004A101A">
        <w:t xml:space="preserve">, but </w:t>
      </w:r>
      <w:r w:rsidRPr="006D76CD">
        <w:t xml:space="preserve">no earlier than 2035 and subject to negotiations with the power plant operators.  Whether </w:t>
      </w:r>
      <w:r w:rsidR="00FF0D77">
        <w:t xml:space="preserve">an earlier date would </w:t>
      </w:r>
      <w:r w:rsidRPr="006D76CD">
        <w:t xml:space="preserve">be possible will be examined in 2032 </w:t>
      </w:r>
      <w:r w:rsidR="00FF0D77">
        <w:t xml:space="preserve">under a </w:t>
      </w:r>
      <w:r w:rsidRPr="006D76CD">
        <w:t>“flexibility clause”.</w:t>
      </w:r>
    </w:p>
    <w:p w14:paraId="43E60CD9" w14:textId="77777777" w:rsidR="007D7782" w:rsidRPr="006D76CD" w:rsidRDefault="007D7782" w:rsidP="007D7782">
      <w:pPr>
        <w:pStyle w:val="CIAEtext"/>
      </w:pPr>
      <w:r w:rsidRPr="006D76CD">
        <w:t>In implementing these recommendations, Germany will be prematurely deprived of an important source of electric power for its industrial heartland.  These recommendations are, at the same time, a major intervention into the social framework and value creation of the lignite</w:t>
      </w:r>
      <w:r w:rsidR="004A101A">
        <w:t>-</w:t>
      </w:r>
      <w:r w:rsidRPr="006D76CD">
        <w:t>mining districts.  In fact, even without a premature, state-regulated exit from coal, power generation based on lignite in Germany would have ended by no later than 2050.</w:t>
      </w:r>
    </w:p>
    <w:p w14:paraId="43E60CDA" w14:textId="77777777" w:rsidR="007D7782" w:rsidRPr="006D76CD" w:rsidRDefault="007D7782" w:rsidP="007D7782">
      <w:pPr>
        <w:pStyle w:val="CIAEtext"/>
      </w:pPr>
      <w:r w:rsidRPr="006D76CD">
        <w:t xml:space="preserve">To decommission lignite-fired power plants, the “Growth, Structural Change and Employment” Commission recommends a contractual agreement with the operators.  This should contain compensation payments for the operators and be linked to legal regulations on a socially acceptable phase-out.  By late autumn 2019, such agreements between the lignite companies and the federal government should have been negotiated.  Hard coal-fired power plant operators should receive a “voluntary premium” through tenders.  A bill was presented in autumn, allowing a coal phase-out law to be passed by the end of 2019 or early in 2020. </w:t>
      </w:r>
      <w:r w:rsidR="004A101A">
        <w:t xml:space="preserve"> </w:t>
      </w:r>
      <w:r w:rsidRPr="006D76CD">
        <w:t>To support the structural change and transition process in the affected coal regions, another bill was presented by the federal government in late summer 2019.</w:t>
      </w:r>
      <w:r w:rsidR="004A101A">
        <w:t xml:space="preserve"> </w:t>
      </w:r>
      <w:r w:rsidRPr="006D76CD">
        <w:t xml:space="preserve"> It provides </w:t>
      </w:r>
      <w:r w:rsidR="004A101A">
        <w:t xml:space="preserve">for </w:t>
      </w:r>
      <w:r w:rsidRPr="006D76CD">
        <w:t>several measures</w:t>
      </w:r>
      <w:r w:rsidR="004A101A">
        <w:t>,</w:t>
      </w:r>
      <w:r w:rsidRPr="006D76CD">
        <w:t xml:space="preserve"> including state aid up to </w:t>
      </w:r>
      <w:r w:rsidR="004A101A">
        <w:t>€</w:t>
      </w:r>
      <w:r w:rsidRPr="006D76CD">
        <w:t>40</w:t>
      </w:r>
      <w:r w:rsidR="004A101A">
        <w:t> </w:t>
      </w:r>
      <w:r w:rsidRPr="006D76CD">
        <w:t>b</w:t>
      </w:r>
      <w:r w:rsidR="004A101A">
        <w:t>illio</w:t>
      </w:r>
      <w:r w:rsidRPr="006D76CD">
        <w:t>n</w:t>
      </w:r>
      <w:r w:rsidR="004A101A">
        <w:t xml:space="preserve"> through to </w:t>
      </w:r>
      <w:r w:rsidRPr="006D76CD">
        <w:t>2038 for investments and projects in the affected regions.</w:t>
      </w:r>
    </w:p>
    <w:p w14:paraId="43E60CDB" w14:textId="77777777" w:rsidR="007D7782" w:rsidRPr="006D76CD" w:rsidRDefault="007D7782" w:rsidP="007D7782">
      <w:pPr>
        <w:pStyle w:val="CIAEtext"/>
      </w:pPr>
      <w:r w:rsidRPr="006D76CD">
        <w:t xml:space="preserve">The recommendations of the commission also propose incentives for the construction of gas-fired power plants and for </w:t>
      </w:r>
      <w:r w:rsidR="00E6204D">
        <w:t xml:space="preserve">the </w:t>
      </w:r>
      <w:r w:rsidRPr="006D76CD">
        <w:t>increased use of combined heat and power (CHP)</w:t>
      </w:r>
      <w:r w:rsidR="00E6204D">
        <w:t xml:space="preserve"> plants</w:t>
      </w:r>
      <w:r w:rsidRPr="006D76CD">
        <w:t xml:space="preserve">.  Both are needed </w:t>
      </w:r>
      <w:proofErr w:type="gramStart"/>
      <w:r w:rsidRPr="006D76CD">
        <w:t>in order to</w:t>
      </w:r>
      <w:proofErr w:type="gramEnd"/>
      <w:r w:rsidRPr="006D76CD">
        <w:t xml:space="preserve"> ensure security of supply since coal-fired power plants will no longer be available.</w:t>
      </w:r>
      <w:r w:rsidR="00E6204D">
        <w:t xml:space="preserve"> </w:t>
      </w:r>
      <w:r w:rsidRPr="006D76CD">
        <w:t xml:space="preserve"> Additional investments</w:t>
      </w:r>
      <w:r w:rsidR="00E6204D">
        <w:t xml:space="preserve"> will be needed, for example </w:t>
      </w:r>
      <w:r w:rsidRPr="006D76CD">
        <w:t>in open</w:t>
      </w:r>
      <w:r w:rsidR="00E6204D">
        <w:t>-</w:t>
      </w:r>
      <w:r w:rsidRPr="006D76CD">
        <w:t xml:space="preserve">cycle gas turbines or gas </w:t>
      </w:r>
      <w:r w:rsidR="00E6204D">
        <w:t>engines.</w:t>
      </w:r>
    </w:p>
    <w:p w14:paraId="43E60CDC" w14:textId="77777777" w:rsidR="007D7782" w:rsidRPr="006D76CD" w:rsidRDefault="007D7782" w:rsidP="007D7782">
      <w:pPr>
        <w:pStyle w:val="CIAEtext"/>
      </w:pPr>
      <w:r w:rsidRPr="006D76CD">
        <w:t xml:space="preserve">Until there is a large-scale storage solution for electricity, a combination of power systems will be needed to match the </w:t>
      </w:r>
      <w:r w:rsidRPr="006D76CD">
        <w:t>ups and downs of wind and solar PV power generation and so balance supply and demand, because renewable power can be close to zero at times and low for several months.</w:t>
      </w:r>
    </w:p>
    <w:p w14:paraId="43E60CDD" w14:textId="77777777" w:rsidR="007D7782" w:rsidRPr="006D76CD" w:rsidRDefault="007D7782" w:rsidP="007D7782">
      <w:pPr>
        <w:pStyle w:val="Figure-Table"/>
      </w:pPr>
      <w:r w:rsidRPr="006D76CD">
        <w:t>Figure </w:t>
      </w:r>
      <w:r w:rsidR="000847FE" w:rsidRPr="006D76CD">
        <w:t>24</w:t>
      </w:r>
    </w:p>
    <w:p w14:paraId="43E60CDE" w14:textId="77777777" w:rsidR="007D7782" w:rsidRPr="006D76CD" w:rsidRDefault="007D7782" w:rsidP="007D7782">
      <w:pPr>
        <w:pStyle w:val="Figure-Table"/>
      </w:pPr>
      <w:r w:rsidRPr="006D76CD">
        <w:t>Coal power plant decommissioning plan of the “Growth, Structural Change and Employment” Commission</w:t>
      </w:r>
    </w:p>
    <w:p w14:paraId="43E60CDF" w14:textId="77777777" w:rsidR="007D7782" w:rsidRPr="006D76CD" w:rsidRDefault="00ED29DE" w:rsidP="00ED29DE">
      <w:pPr>
        <w:pStyle w:val="CIAEmap"/>
      </w:pPr>
      <w:r w:rsidRPr="006D76CD">
        <w:rPr>
          <w:noProof/>
          <w:lang w:eastAsia="en-GB"/>
        </w:rPr>
        <w:drawing>
          <wp:inline distT="0" distB="0" distL="0" distR="0" wp14:anchorId="43E61987" wp14:editId="43E61988">
            <wp:extent cx="3096000" cy="172258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extLst>
                        <a:ext uri="{28A0092B-C50C-407E-A947-70E740481C1C}">
                          <a14:useLocalDpi xmlns:a14="http://schemas.microsoft.com/office/drawing/2010/main" val="0"/>
                        </a:ext>
                      </a:extLst>
                    </a:blip>
                    <a:srcRect t="73713" b="-919"/>
                    <a:stretch/>
                  </pic:blipFill>
                  <pic:spPr bwMode="auto">
                    <a:xfrm>
                      <a:off x="0" y="0"/>
                      <a:ext cx="3096000" cy="1722586"/>
                    </a:xfrm>
                    <a:prstGeom prst="rect">
                      <a:avLst/>
                    </a:prstGeom>
                    <a:noFill/>
                    <a:ln>
                      <a:noFill/>
                    </a:ln>
                    <a:extLst>
                      <a:ext uri="{53640926-AAD7-44D8-BBD7-CCE9431645EC}">
                        <a14:shadowObscured xmlns:a14="http://schemas.microsoft.com/office/drawing/2010/main"/>
                      </a:ext>
                    </a:extLst>
                  </pic:spPr>
                </pic:pic>
              </a:graphicData>
            </a:graphic>
          </wp:inline>
        </w:drawing>
      </w:r>
    </w:p>
    <w:p w14:paraId="43E60CE0" w14:textId="77777777" w:rsidR="007D7782" w:rsidRPr="006D76CD" w:rsidRDefault="007D7782" w:rsidP="007D7782">
      <w:pPr>
        <w:pStyle w:val="Heading2"/>
      </w:pPr>
      <w:r w:rsidRPr="006D76CD">
        <w:t>Hard coal</w:t>
      </w:r>
    </w:p>
    <w:p w14:paraId="43E60CE1" w14:textId="77777777" w:rsidR="007D7782" w:rsidRPr="006D76CD" w:rsidRDefault="007D7782" w:rsidP="007D7782">
      <w:pPr>
        <w:pStyle w:val="CIAEtext"/>
      </w:pPr>
      <w:r w:rsidRPr="006D76CD">
        <w:t>In 2018, the German hard coal market amounted to 48.7 </w:t>
      </w:r>
      <w:proofErr w:type="spellStart"/>
      <w:r w:rsidRPr="006D76CD">
        <w:t>Mtce</w:t>
      </w:r>
      <w:proofErr w:type="spellEnd"/>
      <w:r w:rsidRPr="006D76CD">
        <w:t>, of which 27.2 </w:t>
      </w:r>
      <w:proofErr w:type="spellStart"/>
      <w:r w:rsidRPr="006D76CD">
        <w:t>Mtce</w:t>
      </w:r>
      <w:proofErr w:type="spellEnd"/>
      <w:r w:rsidRPr="006D76CD">
        <w:t xml:space="preserve"> were used for power and heat generation, while 20.4 </w:t>
      </w:r>
      <w:proofErr w:type="spellStart"/>
      <w:r w:rsidRPr="006D76CD">
        <w:t>Mtce</w:t>
      </w:r>
      <w:proofErr w:type="spellEnd"/>
      <w:r w:rsidRPr="006D76CD">
        <w:t xml:space="preserve"> were consumed by the steel industry.  The remaining 1.1 </w:t>
      </w:r>
      <w:proofErr w:type="spellStart"/>
      <w:r w:rsidRPr="006D76CD">
        <w:t>Mtce</w:t>
      </w:r>
      <w:proofErr w:type="spellEnd"/>
      <w:r w:rsidRPr="006D76CD">
        <w:t xml:space="preserve"> were sold to the residential heating market.</w:t>
      </w:r>
    </w:p>
    <w:p w14:paraId="43E60CE2" w14:textId="77777777" w:rsidR="007D7782" w:rsidRPr="006D76CD" w:rsidRDefault="007D7782" w:rsidP="007D7782">
      <w:pPr>
        <w:pStyle w:val="CIAEtext"/>
      </w:pPr>
      <w:r w:rsidRPr="006D76CD">
        <w:t xml:space="preserve">At 46.7 million tonnes, Germany was the EU’s largest hard coal importer in 2018 (32.1 million tonnes </w:t>
      </w:r>
      <w:r w:rsidR="00E6204D">
        <w:t xml:space="preserve">of </w:t>
      </w:r>
      <w:r w:rsidRPr="006D76CD">
        <w:t xml:space="preserve">steam coal, 12.4 million tonnes </w:t>
      </w:r>
      <w:r w:rsidR="00E6204D">
        <w:t xml:space="preserve">of </w:t>
      </w:r>
      <w:r w:rsidRPr="006D76CD">
        <w:t>coking coal and 2.3 </w:t>
      </w:r>
      <w:r w:rsidR="00E6204D">
        <w:t xml:space="preserve">million tonnes of </w:t>
      </w:r>
      <w:r w:rsidRPr="006D76CD">
        <w:t>coke).  The most important sources of imported coal were Russia with a share of 41.1%, followed by the United States, Australia, Colombia, Canada and South Africa.</w:t>
      </w:r>
    </w:p>
    <w:p w14:paraId="43E60CE3" w14:textId="77777777" w:rsidR="007D7782" w:rsidRPr="006D76CD" w:rsidRDefault="007D7782" w:rsidP="007D7782">
      <w:pPr>
        <w:pStyle w:val="CIAEtext"/>
      </w:pPr>
      <w:r w:rsidRPr="006D76CD">
        <w:t>The German government has phased out – in a socially acceptable manner – all state aid for hard coal production.  In 2018, the saleable output from Prosper-</w:t>
      </w:r>
      <w:proofErr w:type="spellStart"/>
      <w:r w:rsidRPr="006D76CD">
        <w:t>Haniel</w:t>
      </w:r>
      <w:proofErr w:type="spellEnd"/>
      <w:r w:rsidRPr="006D76CD">
        <w:t xml:space="preserve"> and </w:t>
      </w:r>
      <w:proofErr w:type="spellStart"/>
      <w:r w:rsidRPr="006D76CD">
        <w:t>Ibbenbüren</w:t>
      </w:r>
      <w:proofErr w:type="spellEnd"/>
      <w:r w:rsidRPr="006D76CD">
        <w:t xml:space="preserve"> deep mines, the last two mines of RAG DEUTSCHE STEINKOHLE (RAG), totalled 2.8 million tonnes.  Both mines closed at the end of 2018.  Therefore, Germany’s hard coal production has definitively ended.</w:t>
      </w:r>
    </w:p>
    <w:p w14:paraId="43E60CE4" w14:textId="77777777" w:rsidR="007D7782" w:rsidRPr="006D76CD" w:rsidRDefault="007D7782" w:rsidP="007D7782">
      <w:pPr>
        <w:pStyle w:val="CIAEtext"/>
      </w:pPr>
      <w:r w:rsidRPr="006D76CD">
        <w:t>Employment figures continue to fall steadily and the number of employees in the hard coal mining sector was 4 125 at the end of 2018.</w:t>
      </w:r>
    </w:p>
    <w:p w14:paraId="43E60CE5" w14:textId="77777777" w:rsidR="007D7782" w:rsidRPr="006D76CD" w:rsidRDefault="007D7782" w:rsidP="007D7782">
      <w:pPr>
        <w:pStyle w:val="CIAEtext"/>
      </w:pPr>
      <w:r w:rsidRPr="006D76CD">
        <w:t>The core activities of RAG are now:  mine water management, repairing subsidence damage due to past coal mining, and the restructuring of former coal mining areas.  The private RAG FOUNDATION, created in July 2007, is the owner of RAG and majority owner of EVONIK, a speciality chemicals company.  Continuing liabilities after the phase-out of hard coal mining will be financed by the proceeds of the Foundation which also promotes education, science and culture in the mining regions.</w:t>
      </w:r>
    </w:p>
    <w:p w14:paraId="43E60CE6" w14:textId="77777777" w:rsidR="007D7782" w:rsidRPr="006D76CD" w:rsidRDefault="007D7782" w:rsidP="00E551DE">
      <w:pPr>
        <w:pStyle w:val="Heading2"/>
        <w:spacing w:after="360"/>
      </w:pPr>
      <w:r w:rsidRPr="006D76CD">
        <w:lastRenderedPageBreak/>
        <w:t>Brown coal and lignite</w:t>
      </w:r>
    </w:p>
    <w:p w14:paraId="43E60CE7" w14:textId="77777777" w:rsidR="007D7782" w:rsidRPr="006D76CD" w:rsidRDefault="007D7782" w:rsidP="00E551DE">
      <w:pPr>
        <w:pStyle w:val="CIAEtext"/>
        <w:spacing w:after="360"/>
      </w:pPr>
      <w:r w:rsidRPr="006D76CD">
        <w:t>Lignite supply in 2018 totalled 51.1 </w:t>
      </w:r>
      <w:proofErr w:type="spellStart"/>
      <w:r w:rsidRPr="006D76CD">
        <w:t>Mtce</w:t>
      </w:r>
      <w:proofErr w:type="spellEnd"/>
      <w:r w:rsidRPr="006D76CD">
        <w:t xml:space="preserve"> of predominantly domestic production (lignite imports were an insignificant 35 thousand tonnes).  Exports of pulverised lignite and briquettes amounted to 1.1 </w:t>
      </w:r>
      <w:proofErr w:type="spellStart"/>
      <w:r w:rsidRPr="006D76CD">
        <w:t>Mtce</w:t>
      </w:r>
      <w:proofErr w:type="spellEnd"/>
      <w:r w:rsidRPr="006D76CD">
        <w:t>.</w:t>
      </w:r>
    </w:p>
    <w:p w14:paraId="43E60CE8" w14:textId="77777777" w:rsidR="007D7782" w:rsidRPr="006D76CD" w:rsidRDefault="007D7782" w:rsidP="00E551DE">
      <w:pPr>
        <w:pStyle w:val="CIAEtext"/>
        <w:spacing w:after="360"/>
      </w:pPr>
      <w:r w:rsidRPr="006D76CD">
        <w:t>Lignite production, which totalled 166.3 million tonnes (51.4 </w:t>
      </w:r>
      <w:proofErr w:type="spellStart"/>
      <w:r w:rsidRPr="006D76CD">
        <w:t>Mtce</w:t>
      </w:r>
      <w:proofErr w:type="spellEnd"/>
      <w:r w:rsidRPr="006D76CD">
        <w:t xml:space="preserve">) in 2018, was centred in three mining areas, namely the Rhenish mining area around Cologne, Aachen and </w:t>
      </w:r>
      <w:proofErr w:type="spellStart"/>
      <w:r w:rsidRPr="006D76CD">
        <w:t>Mönchengladbach</w:t>
      </w:r>
      <w:proofErr w:type="spellEnd"/>
      <w:r w:rsidRPr="006D76CD">
        <w:t>, the Lusatian mining area in south-eastern Brandenburg and north-eastern Saxony, and the Central German mining area in the south-east of Saxony-Anhalt and the north-west of Saxony.  In these three mining areas, lignite is exclusively extracted at opencast mines.  In 2018, a total of 880 million cubic metres of overburden were moved during mining – an average overburden-to-coal ratio of 5.3 cubic metres per tonne.</w:t>
      </w:r>
    </w:p>
    <w:p w14:paraId="43E60CE9" w14:textId="77777777" w:rsidR="007D7782" w:rsidRPr="006D76CD" w:rsidRDefault="007D7782" w:rsidP="00E551DE">
      <w:pPr>
        <w:pStyle w:val="CIAEtext"/>
        <w:spacing w:after="360"/>
      </w:pPr>
      <w:r w:rsidRPr="006D76CD">
        <w:t>Nearly 90% of lignite production is used for power generation (148.2 million tonnes in 2018), accounting for 22.5% of total power generation in Germany.  On 1 July 2015, as part of the “Climate Action Programme 2020”, national political leaders, trade unions and the power plant operators jointly agreed that 2 700 MW of lignite-fired power generation capacity would be gradually transferred into a security standby reserve, starting in October 2016 and ending in October 2023.  These plants will remain on standby for a period of four years after which they will be closed.  The</w:t>
      </w:r>
      <w:r w:rsidR="00EF732C">
        <w:t>se</w:t>
      </w:r>
      <w:r w:rsidRPr="006D76CD">
        <w:t xml:space="preserve"> </w:t>
      </w:r>
      <w:proofErr w:type="spellStart"/>
      <w:r w:rsidRPr="006D76CD">
        <w:t>decommissioning</w:t>
      </w:r>
      <w:r w:rsidR="00EF732C">
        <w:t>s</w:t>
      </w:r>
      <w:proofErr w:type="spellEnd"/>
      <w:r w:rsidRPr="006D76CD">
        <w:t xml:space="preserve"> will decrease electricity production from lignite by about 15% by 2023 and </w:t>
      </w:r>
      <w:r w:rsidR="00EF732C">
        <w:t xml:space="preserve">so reduce </w:t>
      </w:r>
      <w:r w:rsidRPr="006D76CD">
        <w:t xml:space="preserve">lignite </w:t>
      </w:r>
      <w:r w:rsidR="00EF732C">
        <w:t xml:space="preserve">demand </w:t>
      </w:r>
      <w:r w:rsidRPr="006D76CD">
        <w:t>by about 21 million tonnes, thus reducing greenhouse gas emissions by approximately 21 MtCO</w:t>
      </w:r>
      <w:r w:rsidRPr="006D76CD">
        <w:rPr>
          <w:vertAlign w:val="subscript"/>
        </w:rPr>
        <w:t>2</w:t>
      </w:r>
      <w:r w:rsidRPr="006D76CD">
        <w:t xml:space="preserve"> per year.</w:t>
      </w:r>
    </w:p>
    <w:p w14:paraId="43E60CEA" w14:textId="77777777" w:rsidR="007D7782" w:rsidRPr="006D76CD" w:rsidRDefault="007D7782" w:rsidP="007D7782">
      <w:pPr>
        <w:pStyle w:val="Figure-Table"/>
      </w:pPr>
      <w:r w:rsidRPr="006D76CD">
        <w:t>Figure </w:t>
      </w:r>
      <w:r w:rsidR="000847FE" w:rsidRPr="006D76CD">
        <w:t>25</w:t>
      </w:r>
    </w:p>
    <w:p w14:paraId="43E60CEB" w14:textId="77777777" w:rsidR="007D7782" w:rsidRPr="00041451" w:rsidRDefault="007D7782" w:rsidP="007D7782">
      <w:pPr>
        <w:pStyle w:val="Figure-Table"/>
        <w:rPr>
          <w:spacing w:val="-1"/>
        </w:rPr>
      </w:pPr>
      <w:r w:rsidRPr="00041451">
        <w:rPr>
          <w:spacing w:val="-1"/>
        </w:rPr>
        <w:t>Lignite-fired power plants in the secur</w:t>
      </w:r>
      <w:r w:rsidR="00EF732C" w:rsidRPr="00041451">
        <w:rPr>
          <w:spacing w:val="-1"/>
        </w:rPr>
        <w:t>ity</w:t>
      </w:r>
      <w:r w:rsidRPr="00041451">
        <w:rPr>
          <w:spacing w:val="-1"/>
        </w:rPr>
        <w:t xml:space="preserve"> standby reserve</w:t>
      </w:r>
    </w:p>
    <w:p w14:paraId="43E60CEC" w14:textId="77777777" w:rsidR="007D7782" w:rsidRPr="006D76CD" w:rsidRDefault="00254575" w:rsidP="00254575">
      <w:pPr>
        <w:pStyle w:val="CIAEmap"/>
      </w:pPr>
      <w:r w:rsidRPr="006D76CD">
        <w:rPr>
          <w:noProof/>
          <w:lang w:eastAsia="en-GB"/>
        </w:rPr>
        <w:drawing>
          <wp:inline distT="0" distB="0" distL="0" distR="0" wp14:anchorId="43E61989" wp14:editId="43E6198A">
            <wp:extent cx="3096000" cy="1774112"/>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a:extLst>
                        <a:ext uri="{28A0092B-C50C-407E-A947-70E740481C1C}">
                          <a14:useLocalDpi xmlns:a14="http://schemas.microsoft.com/office/drawing/2010/main" val="0"/>
                        </a:ext>
                      </a:extLst>
                    </a:blip>
                    <a:srcRect t="73189" b="-1291"/>
                    <a:stretch/>
                  </pic:blipFill>
                  <pic:spPr bwMode="auto">
                    <a:xfrm>
                      <a:off x="0" y="0"/>
                      <a:ext cx="3096000" cy="1774112"/>
                    </a:xfrm>
                    <a:prstGeom prst="rect">
                      <a:avLst/>
                    </a:prstGeom>
                    <a:noFill/>
                    <a:ln>
                      <a:noFill/>
                    </a:ln>
                    <a:extLst>
                      <a:ext uri="{53640926-AAD7-44D8-BBD7-CCE9431645EC}">
                        <a14:shadowObscured xmlns:a14="http://schemas.microsoft.com/office/drawing/2010/main"/>
                      </a:ext>
                    </a:extLst>
                  </pic:spPr>
                </pic:pic>
              </a:graphicData>
            </a:graphic>
          </wp:inline>
        </w:drawing>
      </w:r>
    </w:p>
    <w:p w14:paraId="43E60CED" w14:textId="77777777" w:rsidR="00E551DE" w:rsidRDefault="00E551DE" w:rsidP="00E551DE">
      <w:pPr>
        <w:pStyle w:val="CIAEtablespace"/>
      </w:pPr>
    </w:p>
    <w:p w14:paraId="43E60CEE" w14:textId="77777777" w:rsidR="00E551DE" w:rsidRDefault="00E551DE" w:rsidP="00E551DE">
      <w:pPr>
        <w:pStyle w:val="CIAEtablespace"/>
        <w:spacing w:after="120"/>
      </w:pPr>
    </w:p>
    <w:p w14:paraId="43E60CEF" w14:textId="77777777" w:rsidR="007D7782" w:rsidRPr="006D76CD" w:rsidRDefault="007D7782" w:rsidP="007D7782">
      <w:pPr>
        <w:pStyle w:val="CIAEtext"/>
      </w:pPr>
      <w:r w:rsidRPr="006D76CD">
        <w:t xml:space="preserve">In the Rhineland, RWE POWER AG produced a total of 86.3 million tonnes of lignite in 2018 from its three opencast mines:  </w:t>
      </w:r>
      <w:proofErr w:type="spellStart"/>
      <w:r w:rsidRPr="006D76CD">
        <w:t>Hambach</w:t>
      </w:r>
      <w:proofErr w:type="spellEnd"/>
      <w:r w:rsidRPr="006D76CD">
        <w:t xml:space="preserve">, </w:t>
      </w:r>
      <w:proofErr w:type="spellStart"/>
      <w:r w:rsidRPr="006D76CD">
        <w:t>Garzweiler</w:t>
      </w:r>
      <w:proofErr w:type="spellEnd"/>
      <w:r w:rsidRPr="006D76CD">
        <w:t xml:space="preserve"> and </w:t>
      </w:r>
      <w:proofErr w:type="spellStart"/>
      <w:r w:rsidRPr="006D76CD">
        <w:t>Inden</w:t>
      </w:r>
      <w:proofErr w:type="spellEnd"/>
      <w:r w:rsidRPr="006D76CD">
        <w:t>.  Almost 90% of the lignite was consumed at the company’s own power stations, whilst some 10.3 million tonnes were used for processed products.  At the end of 2018, the Rhenish mining area had a total workforce of around 10 000.</w:t>
      </w:r>
    </w:p>
    <w:p w14:paraId="43E60CF0" w14:textId="77777777" w:rsidR="007D7782" w:rsidRPr="006D76CD" w:rsidRDefault="007D7782" w:rsidP="007D7782">
      <w:pPr>
        <w:pStyle w:val="CIAEtext"/>
      </w:pPr>
      <w:r w:rsidRPr="006D76CD">
        <w:t xml:space="preserve">At the end of March 2018, the district government of Arnsberg approved the main operating plan for the open-pit mine </w:t>
      </w:r>
      <w:proofErr w:type="spellStart"/>
      <w:r w:rsidRPr="006D76CD">
        <w:t>Hambach</w:t>
      </w:r>
      <w:proofErr w:type="spellEnd"/>
      <w:r w:rsidRPr="006D76CD">
        <w:t>, covering the 2018-2020 period.  Then, in April and June 2018, the German Federation for the Environment and Nature Conservation (BUND</w:t>
      </w:r>
      <w:r w:rsidR="00E551DE">
        <w:t xml:space="preserve"> or </w:t>
      </w:r>
      <w:r w:rsidR="00CA4B04" w:rsidRPr="00CA4B04">
        <w:t>Friends of the Earth Germany</w:t>
      </w:r>
      <w:r w:rsidRPr="006D76CD">
        <w:t xml:space="preserve">) filed a legal complaint against the plan’s approval and initiated an expedited proceeding against the order </w:t>
      </w:r>
      <w:r w:rsidR="00CA4B04">
        <w:t>for</w:t>
      </w:r>
      <w:r w:rsidRPr="006D76CD">
        <w:t xml:space="preserve"> immediate enforcement.  The Higher Administrative Court of North Rhine-Westphalia ruled on 5 October 2018 that forest clearing should not be carried out in </w:t>
      </w:r>
      <w:proofErr w:type="spellStart"/>
      <w:r w:rsidRPr="006D76CD">
        <w:t>Hambach</w:t>
      </w:r>
      <w:proofErr w:type="spellEnd"/>
      <w:r w:rsidRPr="006D76CD">
        <w:t xml:space="preserve"> Forest before a legally enforceable decision ha</w:t>
      </w:r>
      <w:r w:rsidR="00CA4B04">
        <w:t>d</w:t>
      </w:r>
      <w:r w:rsidRPr="006D76CD">
        <w:t xml:space="preserve"> been reached in the BUND case, although other mining operations could continue.  No decision has been reached on the factual issue of clarifying </w:t>
      </w:r>
      <w:proofErr w:type="spellStart"/>
      <w:r w:rsidRPr="006D76CD">
        <w:t>Hambach</w:t>
      </w:r>
      <w:proofErr w:type="spellEnd"/>
      <w:r w:rsidRPr="006D76CD">
        <w:t xml:space="preserve"> Forest’s fauna-flora habitat status and a final decision on the case might not be available before the end of 2020.  Hence, forest clearing is likely only in 2021.  For RWE POWER, the interruption to forest clearance has far-reaching consequences.  It is expected that the first mining bench will reach </w:t>
      </w:r>
      <w:proofErr w:type="spellStart"/>
      <w:r w:rsidRPr="006D76CD">
        <w:t>Hambach</w:t>
      </w:r>
      <w:proofErr w:type="spellEnd"/>
      <w:r w:rsidRPr="006D76CD">
        <w:t xml:space="preserve"> Forest by the end of 2019.  At the same time, recultivation measures will be affected, because overburden will not be available.  </w:t>
      </w:r>
      <w:proofErr w:type="gramStart"/>
      <w:r w:rsidRPr="006D76CD">
        <w:t>In order to</w:t>
      </w:r>
      <w:proofErr w:type="gramEnd"/>
      <w:r w:rsidRPr="006D76CD">
        <w:t xml:space="preserve"> avoid reaching a complete standstill, lignite mining and hence electricity production have been reduced since early 2019.  Elsewhere, the “Growth, Structural Change and Employment” Commission recommends keeping </w:t>
      </w:r>
      <w:proofErr w:type="spellStart"/>
      <w:r w:rsidRPr="006D76CD">
        <w:t>Hambach</w:t>
      </w:r>
      <w:proofErr w:type="spellEnd"/>
      <w:r w:rsidRPr="006D76CD">
        <w:t xml:space="preserve"> Forest as it is now.</w:t>
      </w:r>
    </w:p>
    <w:p w14:paraId="43E60CF1" w14:textId="77777777" w:rsidR="007D7782" w:rsidRPr="006D76CD" w:rsidRDefault="007D7782" w:rsidP="007D7782">
      <w:pPr>
        <w:pStyle w:val="CIAEtext"/>
      </w:pPr>
      <w:r w:rsidRPr="006D76CD">
        <w:t>In 2018, gross electricity production at the lignite-fired power plants of the Rhenish District amounted to 72.0 </w:t>
      </w:r>
      <w:proofErr w:type="spellStart"/>
      <w:r w:rsidRPr="006D76CD">
        <w:t>TWh</w:t>
      </w:r>
      <w:proofErr w:type="spellEnd"/>
      <w:r w:rsidRPr="006D76CD">
        <w:t xml:space="preserve">, from a gross installed capacity of 11 489 MW.  Two 300 MW </w:t>
      </w:r>
      <w:proofErr w:type="spellStart"/>
      <w:r w:rsidRPr="006D76CD">
        <w:t>Frimmersdorf</w:t>
      </w:r>
      <w:proofErr w:type="spellEnd"/>
      <w:r w:rsidRPr="006D76CD">
        <w:t xml:space="preserve"> units (P and Q) were transferred into secure standby from 1 October 2017, followed by two 300 MW </w:t>
      </w:r>
      <w:proofErr w:type="spellStart"/>
      <w:r w:rsidRPr="006D76CD">
        <w:t>Niederaußem</w:t>
      </w:r>
      <w:proofErr w:type="spellEnd"/>
      <w:r w:rsidRPr="006D76CD">
        <w:t xml:space="preserve"> units (E and F) from 1 October 2018.  A 300 MW </w:t>
      </w:r>
      <w:proofErr w:type="spellStart"/>
      <w:r w:rsidRPr="006D76CD">
        <w:t>Neurath</w:t>
      </w:r>
      <w:proofErr w:type="spellEnd"/>
      <w:r w:rsidRPr="006D76CD">
        <w:t xml:space="preserve"> unit (C) was transferred into secure standby by 1 October 2019.  </w:t>
      </w:r>
    </w:p>
    <w:p w14:paraId="43E60CF2" w14:textId="77777777" w:rsidR="007D7782" w:rsidRPr="006D76CD" w:rsidRDefault="007D7782" w:rsidP="007D7782">
      <w:pPr>
        <w:pStyle w:val="CIAEtext"/>
      </w:pPr>
      <w:r w:rsidRPr="006D76CD">
        <w:t xml:space="preserve">In the Lusatian mining region, the Czech EPH-owned LAUSITZ ENERGIE BERGBAU AG (branded LEAG) extracts lignite at </w:t>
      </w:r>
      <w:proofErr w:type="spellStart"/>
      <w:r w:rsidRPr="006D76CD">
        <w:t>Jänschwalde</w:t>
      </w:r>
      <w:proofErr w:type="spellEnd"/>
      <w:r w:rsidRPr="006D76CD">
        <w:t xml:space="preserve"> and </w:t>
      </w:r>
      <w:proofErr w:type="spellStart"/>
      <w:r w:rsidRPr="006D76CD">
        <w:t>Welzow</w:t>
      </w:r>
      <w:proofErr w:type="spellEnd"/>
      <w:r w:rsidRPr="006D76CD">
        <w:t xml:space="preserve">-Süd in Brandenburg, as well as at </w:t>
      </w:r>
      <w:proofErr w:type="spellStart"/>
      <w:r w:rsidRPr="006D76CD">
        <w:t>Nochten</w:t>
      </w:r>
      <w:proofErr w:type="spellEnd"/>
      <w:r w:rsidRPr="006D76CD">
        <w:t xml:space="preserve"> and </w:t>
      </w:r>
      <w:proofErr w:type="spellStart"/>
      <w:r w:rsidRPr="006D76CD">
        <w:t>Reichwalde</w:t>
      </w:r>
      <w:proofErr w:type="spellEnd"/>
      <w:r w:rsidRPr="006D76CD">
        <w:t xml:space="preserve"> in Saxony with a total output of 60.7 million tonnes in 2018.</w:t>
      </w:r>
    </w:p>
    <w:p w14:paraId="43E60CF3" w14:textId="77777777" w:rsidR="007D7782" w:rsidRPr="006D76CD" w:rsidRDefault="007D7782" w:rsidP="007D7782">
      <w:pPr>
        <w:pStyle w:val="CIAEtext"/>
      </w:pPr>
      <w:r w:rsidRPr="006D76CD">
        <w:t xml:space="preserve">Lignite sales to power plants in Lusatia totalled 56.9 million tonnes in 2018.  LEAG is the main operator of lignite-fired power plants in the mining area with a total gross capacity of 7 175 MW, including </w:t>
      </w:r>
      <w:proofErr w:type="spellStart"/>
      <w:r w:rsidRPr="006D76CD">
        <w:t>Jänschwalde</w:t>
      </w:r>
      <w:proofErr w:type="spellEnd"/>
      <w:r w:rsidRPr="006D76CD">
        <w:t xml:space="preserve">, </w:t>
      </w:r>
      <w:proofErr w:type="spellStart"/>
      <w:r w:rsidRPr="006D76CD">
        <w:t>Schwarze</w:t>
      </w:r>
      <w:proofErr w:type="spellEnd"/>
      <w:r w:rsidRPr="006D76CD">
        <w:t xml:space="preserve"> </w:t>
      </w:r>
      <w:proofErr w:type="spellStart"/>
      <w:r w:rsidRPr="006D76CD">
        <w:t>Pumpe</w:t>
      </w:r>
      <w:proofErr w:type="spellEnd"/>
      <w:r w:rsidRPr="006D76CD">
        <w:t xml:space="preserve"> and </w:t>
      </w:r>
      <w:proofErr w:type="spellStart"/>
      <w:r w:rsidRPr="006D76CD">
        <w:t>Boxberg</w:t>
      </w:r>
      <w:proofErr w:type="spellEnd"/>
      <w:r w:rsidRPr="006D76CD">
        <w:t xml:space="preserve"> power plants.  In 2018, the gross power output from these plants was 53.1 </w:t>
      </w:r>
      <w:proofErr w:type="spellStart"/>
      <w:r w:rsidRPr="006D76CD">
        <w:t>TWh</w:t>
      </w:r>
      <w:proofErr w:type="spellEnd"/>
      <w:r w:rsidRPr="006D76CD">
        <w:t>.  At the end of 2018, LEAG had a total workforce of around 8 000.</w:t>
      </w:r>
    </w:p>
    <w:p w14:paraId="43E60CF4" w14:textId="77777777" w:rsidR="007D7782" w:rsidRPr="006D76CD" w:rsidRDefault="007D7782" w:rsidP="007D7782">
      <w:pPr>
        <w:pStyle w:val="CIAEtext"/>
      </w:pPr>
      <w:r w:rsidRPr="006D76CD">
        <w:t>The Central German mining area around Leipzig yielded a total lignite output of 19.2 million tonnes in 2018.  The most important company in this area is MITTELDEUTSCHE BRAUNKOHLENGESELLSCHAFT </w:t>
      </w:r>
      <w:proofErr w:type="spellStart"/>
      <w:r w:rsidRPr="006D76CD">
        <w:t>mbH</w:t>
      </w:r>
      <w:proofErr w:type="spellEnd"/>
      <w:r w:rsidRPr="006D76CD">
        <w:t xml:space="preserve"> (MIBRAG), owned by the Czech company, EPH.  It has two opencast mines at </w:t>
      </w:r>
      <w:proofErr w:type="spellStart"/>
      <w:r w:rsidRPr="006D76CD">
        <w:t>Profen</w:t>
      </w:r>
      <w:proofErr w:type="spellEnd"/>
      <w:r w:rsidRPr="006D76CD">
        <w:t xml:space="preserve"> in Saxony Anhalt and </w:t>
      </w:r>
      <w:proofErr w:type="spellStart"/>
      <w:r w:rsidRPr="006D76CD">
        <w:t>Schleenhain</w:t>
      </w:r>
      <w:proofErr w:type="spellEnd"/>
      <w:r w:rsidRPr="006D76CD">
        <w:t xml:space="preserve"> in Saxony.  The company supplies lignite to its two combined heat and power plants at </w:t>
      </w:r>
      <w:proofErr w:type="spellStart"/>
      <w:r w:rsidRPr="006D76CD">
        <w:t>Deuben</w:t>
      </w:r>
      <w:proofErr w:type="spellEnd"/>
      <w:r w:rsidRPr="006D76CD">
        <w:t xml:space="preserve"> and </w:t>
      </w:r>
      <w:proofErr w:type="spellStart"/>
      <w:r w:rsidRPr="006D76CD">
        <w:t>Wählitz</w:t>
      </w:r>
      <w:proofErr w:type="spellEnd"/>
      <w:r w:rsidRPr="006D76CD">
        <w:t xml:space="preserve"> with a total capacity of 124 MW, as well as to the larger LEAG/ENBW </w:t>
      </w:r>
      <w:proofErr w:type="spellStart"/>
      <w:r w:rsidRPr="006D76CD">
        <w:t>Lippendorf</w:t>
      </w:r>
      <w:proofErr w:type="spellEnd"/>
      <w:r w:rsidRPr="006D76CD">
        <w:t xml:space="preserve"> and UNIPER </w:t>
      </w:r>
      <w:proofErr w:type="spellStart"/>
      <w:r w:rsidRPr="006D76CD">
        <w:t>Schkopau</w:t>
      </w:r>
      <w:proofErr w:type="spellEnd"/>
      <w:r w:rsidRPr="006D76CD">
        <w:t xml:space="preserve"> power stations.  With a </w:t>
      </w:r>
      <w:r w:rsidR="005A27CB">
        <w:t xml:space="preserve">gross </w:t>
      </w:r>
      <w:r w:rsidRPr="006D76CD">
        <w:t>capacity of 3 200 MW, these plants generated 20.3 </w:t>
      </w:r>
      <w:proofErr w:type="spellStart"/>
      <w:r w:rsidRPr="006D76CD">
        <w:t>TWh</w:t>
      </w:r>
      <w:proofErr w:type="spellEnd"/>
      <w:r w:rsidRPr="006D76CD">
        <w:t xml:space="preserve"> in </w:t>
      </w:r>
      <w:r w:rsidRPr="006D76CD">
        <w:lastRenderedPageBreak/>
        <w:t>2018.  At the end of 2018, the Central German mining area had a total workforce of 2 380.</w:t>
      </w:r>
    </w:p>
    <w:p w14:paraId="43E60CF5" w14:textId="77777777" w:rsidR="007D7782" w:rsidRPr="006D76CD" w:rsidRDefault="007D7782" w:rsidP="007D7782">
      <w:pPr>
        <w:pStyle w:val="CIAEtext"/>
      </w:pPr>
      <w:r w:rsidRPr="006D76CD">
        <w:t xml:space="preserve">Also in Central Germany, ROMONTA GmbH operates an open-pit lignite mine for crude </w:t>
      </w:r>
      <w:proofErr w:type="spellStart"/>
      <w:r w:rsidRPr="006D76CD">
        <w:t>montan</w:t>
      </w:r>
      <w:proofErr w:type="spellEnd"/>
      <w:r w:rsidRPr="006D76CD">
        <w:t xml:space="preserve"> wax production at </w:t>
      </w:r>
      <w:proofErr w:type="spellStart"/>
      <w:r w:rsidRPr="006D76CD">
        <w:t>Amsdorf</w:t>
      </w:r>
      <w:proofErr w:type="spellEnd"/>
      <w:r w:rsidRPr="006D76CD">
        <w:t xml:space="preserve"> in Saxony-Anhalt.  </w:t>
      </w:r>
      <w:proofErr w:type="spellStart"/>
      <w:r w:rsidRPr="006D76CD">
        <w:t>Montan</w:t>
      </w:r>
      <w:proofErr w:type="spellEnd"/>
      <w:r w:rsidRPr="006D76CD">
        <w:t xml:space="preserve"> wax is primarily used in the plastics industry, for the manufacture of cosmetic</w:t>
      </w:r>
      <w:r w:rsidR="005A27CB">
        <w:t>s</w:t>
      </w:r>
      <w:r w:rsidRPr="006D76CD">
        <w:t xml:space="preserve"> and cleaning products, and for the hydrophobic treatment of building materials.  In addition, </w:t>
      </w:r>
      <w:proofErr w:type="spellStart"/>
      <w:r w:rsidRPr="006D76CD">
        <w:t>montan</w:t>
      </w:r>
      <w:proofErr w:type="spellEnd"/>
      <w:r w:rsidRPr="006D76CD">
        <w:t xml:space="preserve"> wax is used as a forming wax in investment casting and as </w:t>
      </w:r>
      <w:r w:rsidR="00665754">
        <w:t xml:space="preserve">an additive to modify the performance of </w:t>
      </w:r>
      <w:r w:rsidRPr="006D76CD">
        <w:t xml:space="preserve">asphalt </w:t>
      </w:r>
      <w:r w:rsidR="00665754">
        <w:t>and bitumen</w:t>
      </w:r>
      <w:r w:rsidRPr="006D76CD">
        <w:t>.  Lignite production in 2018 was 466</w:t>
      </w:r>
      <w:r w:rsidR="005A27CB">
        <w:t> </w:t>
      </w:r>
      <w:r w:rsidRPr="006D76CD">
        <w:t xml:space="preserve">thousand tonnes.  The wax-free fuel is used for power generation at </w:t>
      </w:r>
      <w:proofErr w:type="spellStart"/>
      <w:r w:rsidRPr="006D76CD">
        <w:t>Amsdorf</w:t>
      </w:r>
      <w:proofErr w:type="spellEnd"/>
      <w:r w:rsidRPr="006D76CD">
        <w:t>.</w:t>
      </w:r>
    </w:p>
    <w:p w14:paraId="43E60CF6" w14:textId="77777777" w:rsidR="007D7782" w:rsidRPr="006D76CD" w:rsidRDefault="007D7782" w:rsidP="007D7782">
      <w:pPr>
        <w:pStyle w:val="CIAEtext"/>
      </w:pPr>
      <w:r w:rsidRPr="006D76CD">
        <w:t>Extraction of lignite from opencast mines changes the natural landscape, so land reclamation is an integral part of any mining project.  Mining activities are only complete following the transformation of a former “industrial” opencast mine into a vibrant landscape.  For more than one hundred years, nature has inspired landscape restoration projects in Germany, including indigenous flora and fauna.  Projects that return land to productive use, often with a high recreational and agricultural value, are most typical.</w:t>
      </w:r>
    </w:p>
    <w:p w14:paraId="43E60CF7" w14:textId="77777777" w:rsidR="007D7782" w:rsidRPr="006D76CD" w:rsidRDefault="007D7782" w:rsidP="007D7782">
      <w:pPr>
        <w:pStyle w:val="CIAEtext"/>
      </w:pPr>
      <w:r w:rsidRPr="006D76CD">
        <w:t xml:space="preserve">The approved opencast mining plans </w:t>
      </w:r>
      <w:proofErr w:type="gramStart"/>
      <w:r w:rsidRPr="006D76CD">
        <w:t>take into account</w:t>
      </w:r>
      <w:proofErr w:type="gramEnd"/>
      <w:r w:rsidRPr="006D76CD">
        <w:t xml:space="preserve"> many issues and ensure a balance between the various interests in the lignite mining areas.  Implementation of the “Growth, Structural Change and Employment” Commission’s recommendations may require changes to the existing permits, depending on the nature of the opencast mine sites.  It will be a real challenge to find a new balance between the various interests, including agriculture, forestry, local authorities, water management, nature conservation and, </w:t>
      </w:r>
      <w:proofErr w:type="gramStart"/>
      <w:r w:rsidRPr="006D76CD">
        <w:t>last but not least</w:t>
      </w:r>
      <w:proofErr w:type="gramEnd"/>
      <w:r w:rsidRPr="006D76CD">
        <w:t>, mining.</w:t>
      </w:r>
    </w:p>
    <w:p w14:paraId="43E60CF8" w14:textId="77777777" w:rsidR="007D7782" w:rsidRPr="006D76CD" w:rsidRDefault="007D7782" w:rsidP="007D7782">
      <w:pPr>
        <w:pStyle w:val="CIAEtext"/>
      </w:pPr>
      <w:r w:rsidRPr="006D76CD">
        <w:t xml:space="preserve">The German lignite industry is represented by the Deutscher </w:t>
      </w:r>
      <w:proofErr w:type="spellStart"/>
      <w:r w:rsidRPr="006D76CD">
        <w:t>Braunkohlen</w:t>
      </w:r>
      <w:proofErr w:type="spellEnd"/>
      <w:r w:rsidRPr="006D76CD">
        <w:t>-</w:t>
      </w:r>
      <w:proofErr w:type="spellStart"/>
      <w:r w:rsidRPr="006D76CD">
        <w:t>Industrie</w:t>
      </w:r>
      <w:proofErr w:type="spellEnd"/>
      <w:r w:rsidRPr="006D76CD">
        <w:t>-Verein e. V. (DEBRIV – the German Brown Coal Association).  On behalf of DEBRIV, the German Econom</w:t>
      </w:r>
      <w:r w:rsidR="00231334">
        <w:t>ic</w:t>
      </w:r>
      <w:r w:rsidRPr="006D76CD">
        <w:t xml:space="preserve"> </w:t>
      </w:r>
      <w:r w:rsidR="00231334">
        <w:t xml:space="preserve">Institute </w:t>
      </w:r>
      <w:r w:rsidRPr="006D76CD">
        <w:t>(IW) examined the impact of a stricter national CO</w:t>
      </w:r>
      <w:r w:rsidRPr="006D76CD">
        <w:rPr>
          <w:vertAlign w:val="subscript"/>
        </w:rPr>
        <w:t>2</w:t>
      </w:r>
      <w:r w:rsidRPr="006D76CD">
        <w:t xml:space="preserve"> reduction target on the operation of the EU emission</w:t>
      </w:r>
      <w:r w:rsidR="00231334">
        <w:t>s</w:t>
      </w:r>
      <w:r w:rsidRPr="006D76CD">
        <w:t xml:space="preserve"> trading system (ETS) </w:t>
      </w:r>
      <w:r w:rsidR="00231334">
        <w:t>to</w:t>
      </w:r>
      <w:r w:rsidRPr="006D76CD">
        <w:t xml:space="preserve"> 2030 and beyond.  IW concluded in October 2018 that electricity prices in Germany would rise </w:t>
      </w:r>
      <w:proofErr w:type="gramStart"/>
      <w:r w:rsidRPr="006D76CD">
        <w:t>as a result of</w:t>
      </w:r>
      <w:proofErr w:type="gramEnd"/>
      <w:r w:rsidRPr="006D76CD">
        <w:t xml:space="preserve"> the EU ETS reform</w:t>
      </w:r>
      <w:r w:rsidR="00D86C9C">
        <w:t>s</w:t>
      </w:r>
      <w:r w:rsidRPr="006D76CD">
        <w:t xml:space="preserve"> adopted earlier in 2018 and that added value and jobs in the lignite industry would be lost because of the higher cost of CO</w:t>
      </w:r>
      <w:r w:rsidRPr="006D76CD">
        <w:rPr>
          <w:vertAlign w:val="subscript"/>
        </w:rPr>
        <w:t>2</w:t>
      </w:r>
      <w:r w:rsidRPr="006D76CD">
        <w:t xml:space="preserve"> emission allowances required for lignite-fired power generation.</w:t>
      </w:r>
    </w:p>
    <w:p w14:paraId="43E60CF9" w14:textId="77777777" w:rsidR="007D7782" w:rsidRPr="006D76CD" w:rsidRDefault="007D7782" w:rsidP="007D7782">
      <w:pPr>
        <w:pStyle w:val="CIAEtext"/>
      </w:pPr>
      <w:r w:rsidRPr="006D76CD">
        <w:t xml:space="preserve">An accelerated phase-out of coal, as has now been recommended and </w:t>
      </w:r>
      <w:r w:rsidR="00231334">
        <w:t xml:space="preserve">is being </w:t>
      </w:r>
      <w:r w:rsidRPr="006D76CD">
        <w:t>adopted by the state, will lead to an even larger reduction of added value and jobs in the lignite industry, and indirectly in upstream sectors.  The national 55% reduction target for CO</w:t>
      </w:r>
      <w:r w:rsidRPr="006D76CD">
        <w:rPr>
          <w:vertAlign w:val="subscript"/>
        </w:rPr>
        <w:t>2</w:t>
      </w:r>
      <w:r w:rsidRPr="006D76CD">
        <w:t xml:space="preserve"> emissions from the energy sector by 2030 (</w:t>
      </w:r>
      <w:r w:rsidRPr="006D76CD">
        <w:rPr>
          <w:i/>
        </w:rPr>
        <w:t>c.f.</w:t>
      </w:r>
      <w:r w:rsidRPr="006D76CD">
        <w:t xml:space="preserve"> 1990) would already halve jobs in the German lignite industry by 2025.  By 2030, more than two thirds of jobs would be lost.  According to IW calculations, around 72 000 direct, indirect and induced jobs depend on the lignite industr</w:t>
      </w:r>
      <w:r w:rsidR="001C0C5C">
        <w:t>y</w:t>
      </w:r>
      <w:r w:rsidRPr="006D76CD">
        <w:t xml:space="preserve">, as every job in the industry is linked to almost two more jobs </w:t>
      </w:r>
      <w:r w:rsidR="001C0C5C">
        <w:t xml:space="preserve">elsewhere </w:t>
      </w:r>
      <w:r w:rsidRPr="006D76CD">
        <w:t>in the economy.</w:t>
      </w:r>
    </w:p>
    <w:p w14:paraId="43E60CFA" w14:textId="77777777" w:rsidR="007D7782" w:rsidRPr="006D76CD" w:rsidRDefault="007D7782" w:rsidP="007D7782">
      <w:pPr>
        <w:pStyle w:val="Table-countryname"/>
      </w:pPr>
      <w:r w:rsidRPr="006D76CD">
        <w:br w:type="column"/>
      </w:r>
      <w:r w:rsidRPr="006D76CD">
        <w:t>Germany</w:t>
      </w:r>
    </w:p>
    <w:tbl>
      <w:tblPr>
        <w:tblStyle w:val="Generaldata"/>
        <w:tblW w:w="4873" w:type="dxa"/>
        <w:tblLook w:val="05E0" w:firstRow="1" w:lastRow="1" w:firstColumn="1" w:lastColumn="1" w:noHBand="0" w:noVBand="1"/>
      </w:tblPr>
      <w:tblGrid>
        <w:gridCol w:w="2721"/>
        <w:gridCol w:w="1019"/>
        <w:gridCol w:w="1133"/>
      </w:tblGrid>
      <w:tr w:rsidR="007D7782" w:rsidRPr="006D76CD" w14:paraId="43E60CFE" w14:textId="77777777" w:rsidTr="00ED51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CFB" w14:textId="77777777" w:rsidR="007D7782" w:rsidRPr="006D76CD" w:rsidRDefault="007D7782" w:rsidP="00E723D3">
            <w:r w:rsidRPr="006D76CD">
              <w:t>Coal resources and reserves</w:t>
            </w:r>
          </w:p>
        </w:tc>
        <w:tc>
          <w:tcPr>
            <w:tcW w:w="1019" w:type="dxa"/>
          </w:tcPr>
          <w:p w14:paraId="43E60CFC" w14:textId="77777777" w:rsidR="007D7782" w:rsidRPr="006D76CD" w:rsidRDefault="007D7782" w:rsidP="00E723D3">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3" w:type="dxa"/>
          </w:tcPr>
          <w:p w14:paraId="43E60CFD" w14:textId="77777777" w:rsidR="007D7782" w:rsidRPr="006D76CD" w:rsidRDefault="007D7782" w:rsidP="00E723D3">
            <w:r w:rsidRPr="006D76CD">
              <w:t>as at 1.1.2019</w:t>
            </w:r>
          </w:p>
        </w:tc>
      </w:tr>
      <w:tr w:rsidR="007D7782" w:rsidRPr="006D76CD" w14:paraId="43E60D02" w14:textId="77777777" w:rsidTr="00ED5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CFF" w14:textId="77777777" w:rsidR="007D7782" w:rsidRPr="006D76CD" w:rsidRDefault="007D7782" w:rsidP="00E723D3">
            <w:r w:rsidRPr="006D76CD">
              <w:t>Total resources hard coal</w:t>
            </w:r>
          </w:p>
        </w:tc>
        <w:tc>
          <w:tcPr>
            <w:tcW w:w="1019" w:type="dxa"/>
          </w:tcPr>
          <w:p w14:paraId="43E60D00" w14:textId="77777777" w:rsidR="007D7782" w:rsidRPr="006D76CD" w:rsidRDefault="007D7782" w:rsidP="00E723D3">
            <w:pPr>
              <w:cnfStyle w:val="000000100000" w:firstRow="0" w:lastRow="0" w:firstColumn="0" w:lastColumn="0" w:oddVBand="0" w:evenVBand="0" w:oddHBand="1"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3" w:type="dxa"/>
          </w:tcPr>
          <w:p w14:paraId="43E60D01" w14:textId="77777777" w:rsidR="007D7782" w:rsidRPr="006D76CD" w:rsidRDefault="007D7782" w:rsidP="00E723D3">
            <w:r w:rsidRPr="006D76CD">
              <w:t>82 964</w:t>
            </w:r>
          </w:p>
        </w:tc>
      </w:tr>
      <w:tr w:rsidR="007D7782" w:rsidRPr="006D76CD" w14:paraId="43E60D06" w14:textId="77777777" w:rsidTr="00ED510C">
        <w:tc>
          <w:tcPr>
            <w:cnfStyle w:val="001000000000" w:firstRow="0" w:lastRow="0" w:firstColumn="1" w:lastColumn="0" w:oddVBand="0" w:evenVBand="0" w:oddHBand="0" w:evenHBand="0" w:firstRowFirstColumn="0" w:firstRowLastColumn="0" w:lastRowFirstColumn="0" w:lastRowLastColumn="0"/>
            <w:tcW w:w="2721" w:type="dxa"/>
          </w:tcPr>
          <w:p w14:paraId="43E60D03" w14:textId="77777777" w:rsidR="007D7782" w:rsidRPr="006D76CD" w:rsidRDefault="007D7782" w:rsidP="00E723D3">
            <w:r w:rsidRPr="006D76CD">
              <w:t>Total resources lignite</w:t>
            </w:r>
          </w:p>
        </w:tc>
        <w:tc>
          <w:tcPr>
            <w:tcW w:w="1019" w:type="dxa"/>
          </w:tcPr>
          <w:p w14:paraId="43E60D04" w14:textId="77777777" w:rsidR="007D7782" w:rsidRPr="006D76CD" w:rsidRDefault="007D7782" w:rsidP="00E723D3">
            <w:pPr>
              <w:cnfStyle w:val="000000000000" w:firstRow="0" w:lastRow="0"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3" w:type="dxa"/>
          </w:tcPr>
          <w:p w14:paraId="43E60D05" w14:textId="77777777" w:rsidR="007D7782" w:rsidRPr="006D76CD" w:rsidRDefault="007D7782" w:rsidP="00E723D3">
            <w:r w:rsidRPr="006D76CD">
              <w:t>72 400</w:t>
            </w:r>
          </w:p>
        </w:tc>
      </w:tr>
      <w:tr w:rsidR="007D7782" w:rsidRPr="006D76CD" w14:paraId="43E60D0A" w14:textId="77777777" w:rsidTr="00ED510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0D07" w14:textId="77777777" w:rsidR="007D7782" w:rsidRPr="006D76CD" w:rsidRDefault="007D7782" w:rsidP="00E723D3">
            <w:r w:rsidRPr="006D76CD">
              <w:t>Reserves lignite</w:t>
            </w:r>
          </w:p>
        </w:tc>
        <w:tc>
          <w:tcPr>
            <w:tcW w:w="1019" w:type="dxa"/>
            <w:shd w:val="clear" w:color="auto" w:fill="FFFFFF" w:themeFill="background1"/>
          </w:tcPr>
          <w:p w14:paraId="43E60D08" w14:textId="77777777" w:rsidR="007D7782" w:rsidRPr="006D76CD" w:rsidRDefault="007D7782" w:rsidP="00E723D3">
            <w:pPr>
              <w:cnfStyle w:val="010000000000" w:firstRow="0" w:lastRow="1"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3" w:type="dxa"/>
            <w:shd w:val="clear" w:color="auto" w:fill="FFFFFF" w:themeFill="background1"/>
          </w:tcPr>
          <w:p w14:paraId="43E60D09" w14:textId="77777777" w:rsidR="007D7782" w:rsidRPr="006D76CD" w:rsidRDefault="007D7782" w:rsidP="00E723D3">
            <w:r w:rsidRPr="006D76CD">
              <w:t>35 900</w:t>
            </w:r>
          </w:p>
        </w:tc>
      </w:tr>
    </w:tbl>
    <w:p w14:paraId="43E60D0B" w14:textId="77777777" w:rsidR="007D7782" w:rsidRPr="006D76CD" w:rsidRDefault="007D7782" w:rsidP="007D7782">
      <w:pPr>
        <w:pStyle w:val="CIAEtablespace"/>
      </w:pPr>
    </w:p>
    <w:tbl>
      <w:tblPr>
        <w:tblStyle w:val="Generaldata"/>
        <w:tblW w:w="4873" w:type="dxa"/>
        <w:tblLook w:val="05E0" w:firstRow="1" w:lastRow="1" w:firstColumn="1" w:lastColumn="1" w:noHBand="0" w:noVBand="1"/>
      </w:tblPr>
      <w:tblGrid>
        <w:gridCol w:w="2721"/>
        <w:gridCol w:w="1019"/>
        <w:gridCol w:w="1133"/>
      </w:tblGrid>
      <w:tr w:rsidR="007D7782" w:rsidRPr="006D76CD" w14:paraId="43E60D0F" w14:textId="77777777" w:rsidTr="00ED51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0C" w14:textId="77777777" w:rsidR="007D7782" w:rsidRPr="006D76CD" w:rsidRDefault="007D7782" w:rsidP="00E723D3">
            <w:r w:rsidRPr="006D76CD">
              <w:t>Primary energy production</w:t>
            </w:r>
          </w:p>
        </w:tc>
        <w:tc>
          <w:tcPr>
            <w:tcW w:w="1019" w:type="dxa"/>
          </w:tcPr>
          <w:p w14:paraId="43E60D0D" w14:textId="77777777" w:rsidR="007D7782" w:rsidRPr="006D76CD" w:rsidRDefault="007D7782" w:rsidP="00E723D3">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3" w:type="dxa"/>
          </w:tcPr>
          <w:p w14:paraId="43E60D0E" w14:textId="77777777" w:rsidR="007D7782" w:rsidRPr="006D76CD" w:rsidRDefault="007D7782" w:rsidP="00E723D3">
            <w:r w:rsidRPr="006D76CD">
              <w:t>2018</w:t>
            </w:r>
          </w:p>
        </w:tc>
      </w:tr>
      <w:tr w:rsidR="007D7782" w:rsidRPr="006D76CD" w14:paraId="43E60D13" w14:textId="77777777" w:rsidTr="00ED5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10" w14:textId="77777777" w:rsidR="007D7782" w:rsidRPr="006D76CD" w:rsidRDefault="007D7782" w:rsidP="00E723D3">
            <w:r w:rsidRPr="006D76CD">
              <w:t>Total primary energy production</w:t>
            </w:r>
          </w:p>
        </w:tc>
        <w:tc>
          <w:tcPr>
            <w:tcW w:w="1019" w:type="dxa"/>
          </w:tcPr>
          <w:p w14:paraId="43E60D11" w14:textId="77777777" w:rsidR="007D7782" w:rsidRPr="006D76CD" w:rsidRDefault="007D7782" w:rsidP="00E723D3">
            <w:pPr>
              <w:cnfStyle w:val="000000100000" w:firstRow="0" w:lastRow="0" w:firstColumn="0" w:lastColumn="0" w:oddVBand="0" w:evenVBand="0" w:oddHBand="1"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3" w:type="dxa"/>
          </w:tcPr>
          <w:p w14:paraId="43E60D12" w14:textId="77777777" w:rsidR="007D7782" w:rsidRPr="006D76CD" w:rsidRDefault="007D7782" w:rsidP="00E723D3">
            <w:r w:rsidRPr="006D76CD">
              <w:t>160.9</w:t>
            </w:r>
          </w:p>
        </w:tc>
      </w:tr>
      <w:tr w:rsidR="007D7782" w:rsidRPr="006D76CD" w14:paraId="43E60D17" w14:textId="77777777" w:rsidTr="00ED510C">
        <w:tc>
          <w:tcPr>
            <w:cnfStyle w:val="001000000000" w:firstRow="0" w:lastRow="0" w:firstColumn="1" w:lastColumn="0" w:oddVBand="0" w:evenVBand="0" w:oddHBand="0" w:evenHBand="0" w:firstRowFirstColumn="0" w:firstRowLastColumn="0" w:lastRowFirstColumn="0" w:lastRowLastColumn="0"/>
            <w:tcW w:w="2721" w:type="dxa"/>
          </w:tcPr>
          <w:p w14:paraId="43E60D14" w14:textId="77777777" w:rsidR="007D7782" w:rsidRPr="006D76CD" w:rsidRDefault="007D7782" w:rsidP="00E723D3">
            <w:r w:rsidRPr="006D76CD">
              <w:t>Hard coal (saleable output)</w:t>
            </w:r>
          </w:p>
        </w:tc>
        <w:tc>
          <w:tcPr>
            <w:tcW w:w="1019" w:type="dxa"/>
          </w:tcPr>
          <w:p w14:paraId="43E60D15" w14:textId="77777777" w:rsidR="007D7782" w:rsidRPr="006D76CD" w:rsidRDefault="007D7782" w:rsidP="00E723D3">
            <w:pPr>
              <w:cnfStyle w:val="000000000000" w:firstRow="0" w:lastRow="0" w:firstColumn="0" w:lastColumn="0" w:oddVBand="0" w:evenVBand="0" w:oddHBand="0" w:evenHBand="0" w:firstRowFirstColumn="0" w:firstRowLastColumn="0" w:lastRowFirstColumn="0" w:lastRowLastColumn="0"/>
            </w:pPr>
            <w:r w:rsidRPr="006D76CD">
              <w:t xml:space="preserve">Mt / </w:t>
            </w: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3" w:type="dxa"/>
          </w:tcPr>
          <w:p w14:paraId="43E60D16" w14:textId="77777777" w:rsidR="007D7782" w:rsidRPr="006D76CD" w:rsidRDefault="007D7782" w:rsidP="00E723D3">
            <w:r w:rsidRPr="006D76CD">
              <w:t>2.8 / 2.6</w:t>
            </w:r>
          </w:p>
        </w:tc>
      </w:tr>
      <w:tr w:rsidR="007D7782" w:rsidRPr="006D76CD" w14:paraId="43E60D1B" w14:textId="77777777" w:rsidTr="00ED510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0D18" w14:textId="77777777" w:rsidR="007D7782" w:rsidRPr="006D76CD" w:rsidRDefault="007D7782" w:rsidP="00E723D3">
            <w:r w:rsidRPr="006D76CD">
              <w:t>Lignite (saleable output)</w:t>
            </w:r>
          </w:p>
        </w:tc>
        <w:tc>
          <w:tcPr>
            <w:tcW w:w="1019" w:type="dxa"/>
            <w:shd w:val="clear" w:color="auto" w:fill="FFFFFF" w:themeFill="background1"/>
          </w:tcPr>
          <w:p w14:paraId="43E60D19" w14:textId="77777777" w:rsidR="007D7782" w:rsidRPr="006D76CD" w:rsidRDefault="007D7782" w:rsidP="00E723D3">
            <w:pPr>
              <w:cnfStyle w:val="010000000000" w:firstRow="0" w:lastRow="1" w:firstColumn="0" w:lastColumn="0" w:oddVBand="0" w:evenVBand="0" w:oddHBand="0" w:evenHBand="0" w:firstRowFirstColumn="0" w:firstRowLastColumn="0" w:lastRowFirstColumn="0" w:lastRowLastColumn="0"/>
            </w:pPr>
            <w:r w:rsidRPr="006D76CD">
              <w:t xml:space="preserve">Mt / </w:t>
            </w: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3" w:type="dxa"/>
            <w:shd w:val="clear" w:color="auto" w:fill="FFFFFF" w:themeFill="background1"/>
          </w:tcPr>
          <w:p w14:paraId="43E60D1A" w14:textId="77777777" w:rsidR="007D7782" w:rsidRPr="006D76CD" w:rsidRDefault="007D7782" w:rsidP="00E723D3">
            <w:r w:rsidRPr="006D76CD">
              <w:t>166.3 / 51.4</w:t>
            </w:r>
          </w:p>
        </w:tc>
      </w:tr>
    </w:tbl>
    <w:p w14:paraId="43E60D1C" w14:textId="77777777" w:rsidR="007D7782" w:rsidRPr="006D76CD" w:rsidRDefault="007D7782" w:rsidP="007D7782">
      <w:pPr>
        <w:pStyle w:val="CIAEtablespace"/>
      </w:pPr>
    </w:p>
    <w:tbl>
      <w:tblPr>
        <w:tblStyle w:val="Generaldata"/>
        <w:tblW w:w="4875" w:type="dxa"/>
        <w:tblLayout w:type="fixed"/>
        <w:tblLook w:val="05E0" w:firstRow="1" w:lastRow="1" w:firstColumn="1" w:lastColumn="1" w:noHBand="0" w:noVBand="1"/>
      </w:tblPr>
      <w:tblGrid>
        <w:gridCol w:w="2721"/>
        <w:gridCol w:w="1020"/>
        <w:gridCol w:w="1134"/>
      </w:tblGrid>
      <w:tr w:rsidR="007D7782" w:rsidRPr="006D76CD" w14:paraId="43E60D20" w14:textId="77777777" w:rsidTr="00ED51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1D" w14:textId="77777777" w:rsidR="007D7782" w:rsidRPr="006D76CD" w:rsidRDefault="007D7782" w:rsidP="00E723D3">
            <w:r w:rsidRPr="006D76CD">
              <w:t>Saleable coal quality</w:t>
            </w:r>
          </w:p>
        </w:tc>
        <w:tc>
          <w:tcPr>
            <w:tcW w:w="1020" w:type="dxa"/>
          </w:tcPr>
          <w:p w14:paraId="43E60D1E" w14:textId="77777777" w:rsidR="007D7782" w:rsidRPr="006D76CD" w:rsidRDefault="007D7782" w:rsidP="00E723D3">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D1F" w14:textId="77777777" w:rsidR="007D7782" w:rsidRPr="006D76CD" w:rsidRDefault="007D7782" w:rsidP="00E723D3"/>
        </w:tc>
      </w:tr>
      <w:tr w:rsidR="007D7782" w:rsidRPr="006D76CD" w14:paraId="43E60D24" w14:textId="77777777" w:rsidTr="00ED5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21" w14:textId="77777777" w:rsidR="007D7782" w:rsidRPr="006D76CD" w:rsidRDefault="007D7782" w:rsidP="00E723D3">
            <w:r w:rsidRPr="006D76CD">
              <w:t>Hard coal net calorific value</w:t>
            </w:r>
          </w:p>
        </w:tc>
        <w:tc>
          <w:tcPr>
            <w:tcW w:w="1020" w:type="dxa"/>
          </w:tcPr>
          <w:p w14:paraId="43E60D22" w14:textId="77777777" w:rsidR="007D7782" w:rsidRPr="006D76CD" w:rsidRDefault="007D7782" w:rsidP="00E723D3">
            <w:pPr>
              <w:cnfStyle w:val="000000100000" w:firstRow="0" w:lastRow="0" w:firstColumn="0" w:lastColumn="0" w:oddVBand="0" w:evenVBand="0" w:oddHBand="1" w:evenHBand="0" w:firstRowFirstColumn="0" w:firstRowLastColumn="0" w:lastRowFirstColumn="0" w:lastRowLastColumn="0"/>
            </w:pPr>
            <w:r w:rsidRPr="006D76CD">
              <w:t>kJ/kg</w:t>
            </w:r>
          </w:p>
        </w:tc>
        <w:tc>
          <w:tcPr>
            <w:cnfStyle w:val="000100000000" w:firstRow="0" w:lastRow="0" w:firstColumn="0" w:lastColumn="1" w:oddVBand="0" w:evenVBand="0" w:oddHBand="0" w:evenHBand="0" w:firstRowFirstColumn="0" w:firstRowLastColumn="0" w:lastRowFirstColumn="0" w:lastRowLastColumn="0"/>
            <w:tcW w:w="1134" w:type="dxa"/>
          </w:tcPr>
          <w:p w14:paraId="43E60D23" w14:textId="77777777" w:rsidR="007D7782" w:rsidRPr="006D76CD" w:rsidRDefault="007D7782" w:rsidP="00E723D3">
            <w:r w:rsidRPr="006D76CD">
              <w:t>30 264</w:t>
            </w:r>
          </w:p>
        </w:tc>
      </w:tr>
      <w:tr w:rsidR="007D7782" w:rsidRPr="006D76CD" w14:paraId="43E60D28" w14:textId="77777777" w:rsidTr="00ED510C">
        <w:tc>
          <w:tcPr>
            <w:cnfStyle w:val="001000000000" w:firstRow="0" w:lastRow="0" w:firstColumn="1" w:lastColumn="0" w:oddVBand="0" w:evenVBand="0" w:oddHBand="0" w:evenHBand="0" w:firstRowFirstColumn="0" w:firstRowLastColumn="0" w:lastRowFirstColumn="0" w:lastRowLastColumn="0"/>
            <w:tcW w:w="2721" w:type="dxa"/>
          </w:tcPr>
          <w:p w14:paraId="43E60D25" w14:textId="77777777" w:rsidR="007D7782" w:rsidRPr="006D76CD" w:rsidRDefault="007D7782" w:rsidP="00E723D3">
            <w:r w:rsidRPr="006D76CD">
              <w:t>Lignite net calorific value</w:t>
            </w:r>
          </w:p>
        </w:tc>
        <w:tc>
          <w:tcPr>
            <w:tcW w:w="1020" w:type="dxa"/>
          </w:tcPr>
          <w:p w14:paraId="43E60D26" w14:textId="77777777" w:rsidR="007D7782" w:rsidRPr="006D76CD" w:rsidRDefault="007D7782" w:rsidP="00E723D3">
            <w:pPr>
              <w:cnfStyle w:val="000000000000" w:firstRow="0" w:lastRow="0" w:firstColumn="0" w:lastColumn="0" w:oddVBand="0" w:evenVBand="0" w:oddHBand="0" w:evenHBand="0" w:firstRowFirstColumn="0" w:firstRowLastColumn="0" w:lastRowFirstColumn="0" w:lastRowLastColumn="0"/>
            </w:pPr>
            <w:r w:rsidRPr="006D76CD">
              <w:t>kJ/kg</w:t>
            </w:r>
          </w:p>
        </w:tc>
        <w:tc>
          <w:tcPr>
            <w:cnfStyle w:val="000100000000" w:firstRow="0" w:lastRow="0" w:firstColumn="0" w:lastColumn="1" w:oddVBand="0" w:evenVBand="0" w:oddHBand="0" w:evenHBand="0" w:firstRowFirstColumn="0" w:firstRowLastColumn="0" w:lastRowFirstColumn="0" w:lastRowLastColumn="0"/>
            <w:tcW w:w="1134" w:type="dxa"/>
          </w:tcPr>
          <w:p w14:paraId="43E60D27" w14:textId="77777777" w:rsidR="007D7782" w:rsidRPr="006D76CD" w:rsidRDefault="007D7782" w:rsidP="00E723D3">
            <w:r w:rsidRPr="006D76CD">
              <w:rPr>
                <w:color w:val="7F7F7F"/>
              </w:rPr>
              <w:t>7 000</w:t>
            </w:r>
            <w:r w:rsidRPr="006D76CD">
              <w:rPr>
                <w:color w:val="7F7F7F"/>
              </w:rPr>
              <w:noBreakHyphen/>
              <w:t>11 300</w:t>
            </w:r>
          </w:p>
        </w:tc>
      </w:tr>
      <w:tr w:rsidR="007D7782" w:rsidRPr="006D76CD" w14:paraId="43E60D2C" w14:textId="77777777" w:rsidTr="00ED5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29" w14:textId="77777777" w:rsidR="007D7782" w:rsidRPr="006D76CD" w:rsidRDefault="007D7782" w:rsidP="00E723D3">
            <w:r w:rsidRPr="006D76CD">
              <w:t>Hard coal ash content</w:t>
            </w:r>
          </w:p>
        </w:tc>
        <w:tc>
          <w:tcPr>
            <w:tcW w:w="1020" w:type="dxa"/>
          </w:tcPr>
          <w:p w14:paraId="43E60D2A" w14:textId="77777777" w:rsidR="007D7782" w:rsidRPr="006D76CD" w:rsidRDefault="007D7782" w:rsidP="00E723D3">
            <w:pPr>
              <w:cnfStyle w:val="000000100000" w:firstRow="0" w:lastRow="0" w:firstColumn="0" w:lastColumn="0" w:oddVBand="0" w:evenVBand="0" w:oddHBand="1"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D2B" w14:textId="77777777" w:rsidR="007D7782" w:rsidRPr="006D76CD" w:rsidRDefault="007D7782" w:rsidP="00E723D3">
            <w:r w:rsidRPr="006D76CD">
              <w:t>3.3</w:t>
            </w:r>
            <w:r w:rsidRPr="006D76CD">
              <w:noBreakHyphen/>
              <w:t>21.0</w:t>
            </w:r>
          </w:p>
        </w:tc>
      </w:tr>
      <w:tr w:rsidR="007D7782" w:rsidRPr="006D76CD" w14:paraId="43E60D30" w14:textId="77777777" w:rsidTr="00ED510C">
        <w:tc>
          <w:tcPr>
            <w:cnfStyle w:val="001000000000" w:firstRow="0" w:lastRow="0" w:firstColumn="1" w:lastColumn="0" w:oddVBand="0" w:evenVBand="0" w:oddHBand="0" w:evenHBand="0" w:firstRowFirstColumn="0" w:firstRowLastColumn="0" w:lastRowFirstColumn="0" w:lastRowLastColumn="0"/>
            <w:tcW w:w="2721" w:type="dxa"/>
          </w:tcPr>
          <w:p w14:paraId="43E60D2D" w14:textId="77777777" w:rsidR="007D7782" w:rsidRPr="006D76CD" w:rsidRDefault="007D7782" w:rsidP="00E723D3">
            <w:r w:rsidRPr="006D76CD">
              <w:t>Lignite ash content</w:t>
            </w:r>
          </w:p>
        </w:tc>
        <w:tc>
          <w:tcPr>
            <w:tcW w:w="1020" w:type="dxa"/>
          </w:tcPr>
          <w:p w14:paraId="43E60D2E" w14:textId="77777777" w:rsidR="007D7782" w:rsidRPr="006D76CD" w:rsidRDefault="007D7782" w:rsidP="00E723D3">
            <w:pPr>
              <w:cnfStyle w:val="000000000000" w:firstRow="0" w:lastRow="0" w:firstColumn="0" w:lastColumn="0" w:oddVBand="0" w:evenVBand="0" w:oddHBand="0"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D2F" w14:textId="77777777" w:rsidR="007D7782" w:rsidRPr="006D76CD" w:rsidRDefault="007D7782" w:rsidP="00E723D3">
            <w:r w:rsidRPr="006D76CD">
              <w:rPr>
                <w:color w:val="7F7F7F"/>
              </w:rPr>
              <w:t>2.0</w:t>
            </w:r>
            <w:r w:rsidRPr="006D76CD">
              <w:rPr>
                <w:color w:val="7F7F7F"/>
              </w:rPr>
              <w:noBreakHyphen/>
              <w:t>15.0</w:t>
            </w:r>
          </w:p>
        </w:tc>
      </w:tr>
      <w:tr w:rsidR="007D7782" w:rsidRPr="006D76CD" w14:paraId="43E60D34" w14:textId="77777777" w:rsidTr="00ED5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31" w14:textId="77777777" w:rsidR="007D7782" w:rsidRPr="006D76CD" w:rsidRDefault="007D7782" w:rsidP="00E723D3">
            <w:r w:rsidRPr="006D76CD">
              <w:t>Hard coal moisture content</w:t>
            </w:r>
          </w:p>
        </w:tc>
        <w:tc>
          <w:tcPr>
            <w:tcW w:w="1020" w:type="dxa"/>
          </w:tcPr>
          <w:p w14:paraId="43E60D32" w14:textId="77777777" w:rsidR="007D7782" w:rsidRPr="006D76CD" w:rsidRDefault="007D7782" w:rsidP="00E723D3">
            <w:pPr>
              <w:cnfStyle w:val="000000100000" w:firstRow="0" w:lastRow="0" w:firstColumn="0" w:lastColumn="0" w:oddVBand="0" w:evenVBand="0" w:oddHBand="1"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D33" w14:textId="77777777" w:rsidR="007D7782" w:rsidRPr="006D76CD" w:rsidRDefault="007D7782" w:rsidP="00E723D3">
            <w:r w:rsidRPr="006D76CD">
              <w:t>2.5</w:t>
            </w:r>
            <w:r w:rsidRPr="006D76CD">
              <w:noBreakHyphen/>
              <w:t>13.0</w:t>
            </w:r>
          </w:p>
        </w:tc>
      </w:tr>
      <w:tr w:rsidR="007D7782" w:rsidRPr="006D76CD" w14:paraId="43E60D38" w14:textId="77777777" w:rsidTr="00ED510C">
        <w:tc>
          <w:tcPr>
            <w:cnfStyle w:val="001000000000" w:firstRow="0" w:lastRow="0" w:firstColumn="1" w:lastColumn="0" w:oddVBand="0" w:evenVBand="0" w:oddHBand="0" w:evenHBand="0" w:firstRowFirstColumn="0" w:firstRowLastColumn="0" w:lastRowFirstColumn="0" w:lastRowLastColumn="0"/>
            <w:tcW w:w="2721" w:type="dxa"/>
          </w:tcPr>
          <w:p w14:paraId="43E60D35" w14:textId="77777777" w:rsidR="007D7782" w:rsidRPr="006D76CD" w:rsidRDefault="007D7782" w:rsidP="00E723D3">
            <w:r w:rsidRPr="006D76CD">
              <w:t>Lignite moisture content</w:t>
            </w:r>
          </w:p>
        </w:tc>
        <w:tc>
          <w:tcPr>
            <w:tcW w:w="1020" w:type="dxa"/>
          </w:tcPr>
          <w:p w14:paraId="43E60D36" w14:textId="77777777" w:rsidR="007D7782" w:rsidRPr="006D76CD" w:rsidRDefault="007D7782" w:rsidP="00E723D3">
            <w:pPr>
              <w:cnfStyle w:val="000000000000" w:firstRow="0" w:lastRow="0" w:firstColumn="0" w:lastColumn="0" w:oddVBand="0" w:evenVBand="0" w:oddHBand="0"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D37" w14:textId="77777777" w:rsidR="007D7782" w:rsidRPr="006D76CD" w:rsidRDefault="007D7782" w:rsidP="00E723D3">
            <w:r w:rsidRPr="006D76CD">
              <w:rPr>
                <w:color w:val="7F7F7F"/>
              </w:rPr>
              <w:t>47.0</w:t>
            </w:r>
            <w:r w:rsidRPr="006D76CD">
              <w:rPr>
                <w:color w:val="7F7F7F"/>
              </w:rPr>
              <w:noBreakHyphen/>
              <w:t>61.0</w:t>
            </w:r>
          </w:p>
        </w:tc>
      </w:tr>
      <w:tr w:rsidR="007D7782" w:rsidRPr="006D76CD" w14:paraId="43E60D3C" w14:textId="77777777" w:rsidTr="00ED5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39" w14:textId="77777777" w:rsidR="007D7782" w:rsidRPr="006D76CD" w:rsidRDefault="007D7782" w:rsidP="00E723D3">
            <w:r w:rsidRPr="006D76CD">
              <w:t>Hard coal sulphur content</w:t>
            </w:r>
          </w:p>
        </w:tc>
        <w:tc>
          <w:tcPr>
            <w:tcW w:w="1020" w:type="dxa"/>
          </w:tcPr>
          <w:p w14:paraId="43E60D3A" w14:textId="77777777" w:rsidR="007D7782" w:rsidRPr="006D76CD" w:rsidRDefault="007D7782" w:rsidP="00E723D3">
            <w:pPr>
              <w:cnfStyle w:val="000000100000" w:firstRow="0" w:lastRow="0" w:firstColumn="0" w:lastColumn="0" w:oddVBand="0" w:evenVBand="0" w:oddHBand="1"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D3B" w14:textId="77777777" w:rsidR="007D7782" w:rsidRPr="006D76CD" w:rsidRDefault="007D7782" w:rsidP="00E723D3">
            <w:r w:rsidRPr="006D76CD">
              <w:t>0.45</w:t>
            </w:r>
            <w:r w:rsidRPr="006D76CD">
              <w:noBreakHyphen/>
              <w:t>1.8</w:t>
            </w:r>
          </w:p>
        </w:tc>
      </w:tr>
      <w:tr w:rsidR="007D7782" w:rsidRPr="006D76CD" w14:paraId="43E60D40" w14:textId="77777777" w:rsidTr="00ED510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3D" w14:textId="77777777" w:rsidR="007D7782" w:rsidRPr="006D76CD" w:rsidRDefault="007D7782" w:rsidP="00E723D3">
            <w:r w:rsidRPr="006D76CD">
              <w:t>Lignite sulphur content</w:t>
            </w:r>
          </w:p>
        </w:tc>
        <w:tc>
          <w:tcPr>
            <w:tcW w:w="1020" w:type="dxa"/>
          </w:tcPr>
          <w:p w14:paraId="43E60D3E" w14:textId="77777777" w:rsidR="007D7782" w:rsidRPr="006D76CD" w:rsidRDefault="007D7782" w:rsidP="00E723D3">
            <w:pPr>
              <w:cnfStyle w:val="010000000000" w:firstRow="0" w:lastRow="1" w:firstColumn="0" w:lastColumn="0" w:oddVBand="0" w:evenVBand="0" w:oddHBand="0"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D3F" w14:textId="77777777" w:rsidR="007D7782" w:rsidRPr="006D76CD" w:rsidRDefault="007D7782" w:rsidP="00E723D3">
            <w:r w:rsidRPr="006D76CD">
              <w:rPr>
                <w:color w:val="7F7F7F"/>
              </w:rPr>
              <w:t>0.12</w:t>
            </w:r>
            <w:r w:rsidRPr="006D76CD">
              <w:rPr>
                <w:color w:val="7F7F7F"/>
              </w:rPr>
              <w:noBreakHyphen/>
              <w:t>2.1</w:t>
            </w:r>
          </w:p>
        </w:tc>
      </w:tr>
    </w:tbl>
    <w:p w14:paraId="43E60D41" w14:textId="77777777" w:rsidR="007D7782" w:rsidRPr="006D76CD" w:rsidRDefault="007D7782" w:rsidP="007D7782">
      <w:pPr>
        <w:pStyle w:val="CIAEtablespace"/>
      </w:pPr>
    </w:p>
    <w:tbl>
      <w:tblPr>
        <w:tblStyle w:val="Generaldata"/>
        <w:tblW w:w="4875" w:type="dxa"/>
        <w:tblLook w:val="05E0" w:firstRow="1" w:lastRow="1" w:firstColumn="1" w:lastColumn="1" w:noHBand="0" w:noVBand="1"/>
      </w:tblPr>
      <w:tblGrid>
        <w:gridCol w:w="2721"/>
        <w:gridCol w:w="1020"/>
        <w:gridCol w:w="1134"/>
      </w:tblGrid>
      <w:tr w:rsidR="007D7782" w:rsidRPr="006D76CD" w14:paraId="43E60D45" w14:textId="77777777" w:rsidTr="00E723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42" w14:textId="77777777" w:rsidR="007D7782" w:rsidRPr="006D76CD" w:rsidRDefault="007D7782" w:rsidP="00E723D3">
            <w:r w:rsidRPr="006D76CD">
              <w:t>Coal imports / exports</w:t>
            </w:r>
          </w:p>
        </w:tc>
        <w:tc>
          <w:tcPr>
            <w:tcW w:w="1020" w:type="dxa"/>
          </w:tcPr>
          <w:p w14:paraId="43E60D43" w14:textId="77777777" w:rsidR="007D7782" w:rsidRPr="006D76CD" w:rsidRDefault="007D7782" w:rsidP="00E723D3">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D44" w14:textId="77777777" w:rsidR="007D7782" w:rsidRPr="006D76CD" w:rsidRDefault="007D7782" w:rsidP="00E723D3">
            <w:r w:rsidRPr="006D76CD">
              <w:t>2018</w:t>
            </w:r>
          </w:p>
        </w:tc>
      </w:tr>
      <w:tr w:rsidR="007D7782" w:rsidRPr="006D76CD" w14:paraId="43E60D49" w14:textId="77777777" w:rsidTr="00E72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46" w14:textId="77777777" w:rsidR="007D7782" w:rsidRPr="006D76CD" w:rsidRDefault="007D7782" w:rsidP="00E723D3">
            <w:r w:rsidRPr="006D76CD">
              <w:t>Hard coal imports</w:t>
            </w:r>
          </w:p>
        </w:tc>
        <w:tc>
          <w:tcPr>
            <w:tcW w:w="1020" w:type="dxa"/>
          </w:tcPr>
          <w:p w14:paraId="43E60D47" w14:textId="77777777" w:rsidR="007D7782" w:rsidRPr="006D76CD" w:rsidRDefault="007D7782" w:rsidP="00E723D3">
            <w:pPr>
              <w:cnfStyle w:val="000000100000" w:firstRow="0" w:lastRow="0" w:firstColumn="0" w:lastColumn="0" w:oddVBand="0" w:evenVBand="0" w:oddHBand="1"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tcPr>
          <w:p w14:paraId="43E60D48" w14:textId="77777777" w:rsidR="007D7782" w:rsidRPr="006D76CD" w:rsidRDefault="003532E1" w:rsidP="003532E1">
            <w:r>
              <w:t>44.5</w:t>
            </w:r>
          </w:p>
        </w:tc>
      </w:tr>
      <w:tr w:rsidR="007D7782" w:rsidRPr="006D76CD" w14:paraId="43E60D4D" w14:textId="77777777" w:rsidTr="00E723D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4A" w14:textId="77777777" w:rsidR="007D7782" w:rsidRPr="006D76CD" w:rsidRDefault="007D7782" w:rsidP="00E723D3">
            <w:r w:rsidRPr="006D76CD">
              <w:t>Lignite imports</w:t>
            </w:r>
          </w:p>
        </w:tc>
        <w:tc>
          <w:tcPr>
            <w:tcW w:w="1020" w:type="dxa"/>
          </w:tcPr>
          <w:p w14:paraId="43E60D4B" w14:textId="77777777" w:rsidR="007D7782" w:rsidRPr="006D76CD" w:rsidRDefault="007D7782" w:rsidP="00E723D3">
            <w:pPr>
              <w:cnfStyle w:val="010000000000" w:firstRow="0" w:lastRow="1"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tcPr>
          <w:p w14:paraId="43E60D4C" w14:textId="77777777" w:rsidR="007D7782" w:rsidRPr="006D76CD" w:rsidRDefault="007D7782" w:rsidP="00E723D3">
            <w:r w:rsidRPr="006D76CD">
              <w:t>0.0</w:t>
            </w:r>
          </w:p>
        </w:tc>
      </w:tr>
    </w:tbl>
    <w:p w14:paraId="43E60D4E" w14:textId="77777777" w:rsidR="007D7782" w:rsidRPr="006D76CD" w:rsidRDefault="007D7782" w:rsidP="007D7782">
      <w:pPr>
        <w:pStyle w:val="CIAEtablespace"/>
      </w:pPr>
    </w:p>
    <w:tbl>
      <w:tblPr>
        <w:tblStyle w:val="Generaldata"/>
        <w:tblW w:w="4875" w:type="dxa"/>
        <w:tblLook w:val="05E0" w:firstRow="1" w:lastRow="1" w:firstColumn="1" w:lastColumn="1" w:noHBand="0" w:noVBand="1"/>
      </w:tblPr>
      <w:tblGrid>
        <w:gridCol w:w="2721"/>
        <w:gridCol w:w="1020"/>
        <w:gridCol w:w="1134"/>
      </w:tblGrid>
      <w:tr w:rsidR="007D7782" w:rsidRPr="006D76CD" w14:paraId="43E60D52" w14:textId="77777777" w:rsidTr="00E723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4F" w14:textId="77777777" w:rsidR="007D7782" w:rsidRPr="006D76CD" w:rsidRDefault="007D7782" w:rsidP="00E723D3">
            <w:r w:rsidRPr="006D76CD">
              <w:t>Primary energy consumption</w:t>
            </w:r>
          </w:p>
        </w:tc>
        <w:tc>
          <w:tcPr>
            <w:tcW w:w="1020" w:type="dxa"/>
          </w:tcPr>
          <w:p w14:paraId="43E60D50" w14:textId="77777777" w:rsidR="007D7782" w:rsidRPr="006D76CD" w:rsidRDefault="007D7782" w:rsidP="00E723D3">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D51" w14:textId="77777777" w:rsidR="007D7782" w:rsidRPr="006D76CD" w:rsidRDefault="007D7782" w:rsidP="00E723D3">
            <w:r w:rsidRPr="006D76CD">
              <w:t>2018</w:t>
            </w:r>
          </w:p>
        </w:tc>
      </w:tr>
      <w:tr w:rsidR="007D7782" w:rsidRPr="006D76CD" w14:paraId="43E60D56" w14:textId="77777777" w:rsidTr="00E72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53" w14:textId="77777777" w:rsidR="007D7782" w:rsidRPr="006D76CD" w:rsidRDefault="007D7782" w:rsidP="00E723D3">
            <w:r w:rsidRPr="006D76CD">
              <w:t>Total primary energy consumption</w:t>
            </w:r>
          </w:p>
        </w:tc>
        <w:tc>
          <w:tcPr>
            <w:tcW w:w="1020" w:type="dxa"/>
          </w:tcPr>
          <w:p w14:paraId="43E60D54" w14:textId="77777777" w:rsidR="007D7782" w:rsidRPr="006D76CD" w:rsidRDefault="007D7782" w:rsidP="00E723D3">
            <w:pPr>
              <w:cnfStyle w:val="000000100000" w:firstRow="0" w:lastRow="0" w:firstColumn="0" w:lastColumn="0" w:oddVBand="0" w:evenVBand="0" w:oddHBand="1"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D55" w14:textId="77777777" w:rsidR="007D7782" w:rsidRPr="006D76CD" w:rsidRDefault="007D7782" w:rsidP="00E723D3">
            <w:r w:rsidRPr="006D76CD">
              <w:t>447.2</w:t>
            </w:r>
          </w:p>
        </w:tc>
      </w:tr>
      <w:tr w:rsidR="007D7782" w:rsidRPr="006D76CD" w14:paraId="43E60D5A" w14:textId="77777777" w:rsidTr="00E723D3">
        <w:tc>
          <w:tcPr>
            <w:cnfStyle w:val="001000000000" w:firstRow="0" w:lastRow="0" w:firstColumn="1" w:lastColumn="0" w:oddVBand="0" w:evenVBand="0" w:oddHBand="0" w:evenHBand="0" w:firstRowFirstColumn="0" w:firstRowLastColumn="0" w:lastRowFirstColumn="0" w:lastRowLastColumn="0"/>
            <w:tcW w:w="2721" w:type="dxa"/>
          </w:tcPr>
          <w:p w14:paraId="43E60D57" w14:textId="77777777" w:rsidR="007D7782" w:rsidRPr="006D76CD" w:rsidRDefault="007D7782" w:rsidP="00E723D3">
            <w:r w:rsidRPr="006D76CD">
              <w:t>Hard coal consumption</w:t>
            </w:r>
          </w:p>
        </w:tc>
        <w:tc>
          <w:tcPr>
            <w:tcW w:w="1020" w:type="dxa"/>
          </w:tcPr>
          <w:p w14:paraId="43E60D58" w14:textId="77777777" w:rsidR="007D7782" w:rsidRPr="006D76CD" w:rsidRDefault="007D7782" w:rsidP="00E723D3">
            <w:pPr>
              <w:cnfStyle w:val="000000000000" w:firstRow="0" w:lastRow="0" w:firstColumn="0" w:lastColumn="0" w:oddVBand="0" w:evenVBand="0" w:oddHBand="0"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D59" w14:textId="77777777" w:rsidR="007D7782" w:rsidRPr="006D76CD" w:rsidRDefault="007D7782" w:rsidP="00E723D3">
            <w:r w:rsidRPr="006D76CD">
              <w:t>48.7</w:t>
            </w:r>
          </w:p>
        </w:tc>
      </w:tr>
      <w:tr w:rsidR="007D7782" w:rsidRPr="006D76CD" w14:paraId="43E60D5E" w14:textId="77777777" w:rsidTr="00E723D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0D5B" w14:textId="77777777" w:rsidR="007D7782" w:rsidRPr="006D76CD" w:rsidRDefault="007D7782" w:rsidP="00E723D3">
            <w:r w:rsidRPr="006D76CD">
              <w:t>Lignite consumption</w:t>
            </w:r>
          </w:p>
        </w:tc>
        <w:tc>
          <w:tcPr>
            <w:tcW w:w="1020" w:type="dxa"/>
            <w:shd w:val="clear" w:color="auto" w:fill="FFFFFF" w:themeFill="background1"/>
          </w:tcPr>
          <w:p w14:paraId="43E60D5C" w14:textId="77777777" w:rsidR="007D7782" w:rsidRPr="006D76CD" w:rsidRDefault="007D7782" w:rsidP="00E723D3">
            <w:pPr>
              <w:cnfStyle w:val="010000000000" w:firstRow="0" w:lastRow="1" w:firstColumn="0" w:lastColumn="0" w:oddVBand="0" w:evenVBand="0" w:oddHBand="0"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0D5D" w14:textId="77777777" w:rsidR="007D7782" w:rsidRPr="006D76CD" w:rsidRDefault="007D7782" w:rsidP="00E723D3">
            <w:r w:rsidRPr="006D76CD">
              <w:t>50.4</w:t>
            </w:r>
          </w:p>
        </w:tc>
      </w:tr>
    </w:tbl>
    <w:p w14:paraId="43E60D5F" w14:textId="77777777" w:rsidR="007D7782" w:rsidRPr="006D76CD" w:rsidRDefault="007D7782" w:rsidP="007D7782">
      <w:pPr>
        <w:pStyle w:val="CIAEtablespace"/>
      </w:pPr>
    </w:p>
    <w:tbl>
      <w:tblPr>
        <w:tblStyle w:val="Generaldata"/>
        <w:tblW w:w="4875" w:type="dxa"/>
        <w:tblLook w:val="05E0" w:firstRow="1" w:lastRow="1" w:firstColumn="1" w:lastColumn="1" w:noHBand="0" w:noVBand="1"/>
      </w:tblPr>
      <w:tblGrid>
        <w:gridCol w:w="2721"/>
        <w:gridCol w:w="1020"/>
        <w:gridCol w:w="1134"/>
      </w:tblGrid>
      <w:tr w:rsidR="007D7782" w:rsidRPr="006D76CD" w14:paraId="43E60D63" w14:textId="77777777" w:rsidTr="00E723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60" w14:textId="77777777" w:rsidR="007D7782" w:rsidRPr="006D76CD" w:rsidRDefault="007D7782" w:rsidP="00E723D3">
            <w:r w:rsidRPr="006D76CD">
              <w:t>Power supply</w:t>
            </w:r>
          </w:p>
        </w:tc>
        <w:tc>
          <w:tcPr>
            <w:tcW w:w="1020" w:type="dxa"/>
          </w:tcPr>
          <w:p w14:paraId="43E60D61" w14:textId="77777777" w:rsidR="007D7782" w:rsidRPr="006D76CD" w:rsidRDefault="007D7782" w:rsidP="00E723D3">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D62" w14:textId="77777777" w:rsidR="007D7782" w:rsidRPr="006D76CD" w:rsidRDefault="007D7782" w:rsidP="00E723D3">
            <w:r w:rsidRPr="006D76CD">
              <w:t>2018</w:t>
            </w:r>
          </w:p>
        </w:tc>
      </w:tr>
      <w:tr w:rsidR="007D7782" w:rsidRPr="006D76CD" w14:paraId="43E60D67" w14:textId="77777777" w:rsidTr="00E72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64" w14:textId="77777777" w:rsidR="007D7782" w:rsidRPr="006D76CD" w:rsidRDefault="007D7782" w:rsidP="00E723D3">
            <w:r w:rsidRPr="006D76CD">
              <w:t>Total gross power generation</w:t>
            </w:r>
          </w:p>
        </w:tc>
        <w:tc>
          <w:tcPr>
            <w:tcW w:w="1020" w:type="dxa"/>
          </w:tcPr>
          <w:p w14:paraId="43E60D65" w14:textId="77777777" w:rsidR="007D7782" w:rsidRPr="006D76CD" w:rsidRDefault="007D7782" w:rsidP="00E723D3">
            <w:pPr>
              <w:cnfStyle w:val="000000100000" w:firstRow="0" w:lastRow="0" w:firstColumn="0" w:lastColumn="0" w:oddVBand="0" w:evenVBand="0" w:oddHBand="1"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D66" w14:textId="77777777" w:rsidR="007D7782" w:rsidRPr="006D76CD" w:rsidRDefault="007D7782" w:rsidP="00E723D3">
            <w:r w:rsidRPr="006D76CD">
              <w:t>646.8</w:t>
            </w:r>
          </w:p>
        </w:tc>
      </w:tr>
      <w:tr w:rsidR="007D7782" w:rsidRPr="006D76CD" w14:paraId="43E60D6B" w14:textId="77777777" w:rsidTr="00E723D3">
        <w:tc>
          <w:tcPr>
            <w:cnfStyle w:val="001000000000" w:firstRow="0" w:lastRow="0" w:firstColumn="1" w:lastColumn="0" w:oddVBand="0" w:evenVBand="0" w:oddHBand="0" w:evenHBand="0" w:firstRowFirstColumn="0" w:firstRowLastColumn="0" w:lastRowFirstColumn="0" w:lastRowLastColumn="0"/>
            <w:tcW w:w="2721" w:type="dxa"/>
          </w:tcPr>
          <w:p w14:paraId="43E60D68" w14:textId="77777777" w:rsidR="007D7782" w:rsidRPr="006D76CD" w:rsidRDefault="007D7782" w:rsidP="00E723D3">
            <w:r w:rsidRPr="006D76CD">
              <w:t>Net power imports (exports)</w:t>
            </w:r>
          </w:p>
        </w:tc>
        <w:tc>
          <w:tcPr>
            <w:tcW w:w="1020" w:type="dxa"/>
          </w:tcPr>
          <w:p w14:paraId="43E60D69" w14:textId="77777777" w:rsidR="007D7782" w:rsidRPr="006D76CD" w:rsidRDefault="007D7782" w:rsidP="00E723D3">
            <w:pPr>
              <w:cnfStyle w:val="000000000000" w:firstRow="0" w:lastRow="0" w:firstColumn="0" w:lastColumn="0" w:oddVBand="0" w:evenVBand="0" w:oddHBand="0"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D6A" w14:textId="77777777" w:rsidR="007D7782" w:rsidRPr="006D76CD" w:rsidRDefault="007D7782" w:rsidP="00E723D3">
            <w:r w:rsidRPr="006D76CD">
              <w:t>(51.2)</w:t>
            </w:r>
          </w:p>
        </w:tc>
      </w:tr>
      <w:tr w:rsidR="007D7782" w:rsidRPr="006D76CD" w14:paraId="43E60D6F" w14:textId="77777777" w:rsidTr="00E72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6C" w14:textId="77777777" w:rsidR="007D7782" w:rsidRPr="006D76CD" w:rsidRDefault="007D7782" w:rsidP="00E723D3">
            <w:r w:rsidRPr="006D76CD">
              <w:t>Total final power consumption</w:t>
            </w:r>
          </w:p>
        </w:tc>
        <w:tc>
          <w:tcPr>
            <w:tcW w:w="1020" w:type="dxa"/>
          </w:tcPr>
          <w:p w14:paraId="43E60D6D" w14:textId="77777777" w:rsidR="007D7782" w:rsidRPr="006D76CD" w:rsidRDefault="007D7782" w:rsidP="00E723D3">
            <w:pPr>
              <w:cnfStyle w:val="000000100000" w:firstRow="0" w:lastRow="0" w:firstColumn="0" w:lastColumn="0" w:oddVBand="0" w:evenVBand="0" w:oddHBand="1" w:evenHBand="0" w:firstRowFirstColumn="0" w:firstRowLastColumn="0" w:lastRowFirstColumn="0" w:lastRowLastColumn="0"/>
            </w:pPr>
            <w:proofErr w:type="spellStart"/>
            <w:r w:rsidRPr="006D76CD">
              <w:t>TWh</w:t>
            </w:r>
            <w:proofErr w:type="spellEnd"/>
            <w:r w:rsidRPr="006D76CD">
              <w:t xml:space="preserve"> (est.)</w:t>
            </w:r>
          </w:p>
        </w:tc>
        <w:tc>
          <w:tcPr>
            <w:cnfStyle w:val="000100000000" w:firstRow="0" w:lastRow="0" w:firstColumn="0" w:lastColumn="1" w:oddVBand="0" w:evenVBand="0" w:oddHBand="0" w:evenHBand="0" w:firstRowFirstColumn="0" w:firstRowLastColumn="0" w:lastRowFirstColumn="0" w:lastRowLastColumn="0"/>
            <w:tcW w:w="1134" w:type="dxa"/>
          </w:tcPr>
          <w:p w14:paraId="43E60D6E" w14:textId="77777777" w:rsidR="007D7782" w:rsidRPr="006D76CD" w:rsidRDefault="007D7782" w:rsidP="00E723D3">
            <w:r w:rsidRPr="006D76CD">
              <w:t>526.9</w:t>
            </w:r>
          </w:p>
        </w:tc>
      </w:tr>
      <w:tr w:rsidR="007D7782" w:rsidRPr="006D76CD" w14:paraId="43E60D73" w14:textId="77777777" w:rsidTr="00E723D3">
        <w:tc>
          <w:tcPr>
            <w:cnfStyle w:val="001000000000" w:firstRow="0" w:lastRow="0" w:firstColumn="1" w:lastColumn="0" w:oddVBand="0" w:evenVBand="0" w:oddHBand="0" w:evenHBand="0" w:firstRowFirstColumn="0" w:firstRowLastColumn="0" w:lastRowFirstColumn="0" w:lastRowLastColumn="0"/>
            <w:tcW w:w="2721" w:type="dxa"/>
          </w:tcPr>
          <w:p w14:paraId="43E60D70" w14:textId="77777777" w:rsidR="007D7782" w:rsidRPr="006D76CD" w:rsidRDefault="007D7782" w:rsidP="00E723D3">
            <w:r w:rsidRPr="006D76CD">
              <w:t>Power generation from hard coal</w:t>
            </w:r>
          </w:p>
        </w:tc>
        <w:tc>
          <w:tcPr>
            <w:tcW w:w="1020" w:type="dxa"/>
          </w:tcPr>
          <w:p w14:paraId="43E60D71" w14:textId="77777777" w:rsidR="007D7782" w:rsidRPr="006D76CD" w:rsidRDefault="007D7782" w:rsidP="00E723D3">
            <w:pPr>
              <w:cnfStyle w:val="000000000000" w:firstRow="0" w:lastRow="0" w:firstColumn="0" w:lastColumn="0" w:oddVBand="0" w:evenVBand="0" w:oddHBand="0" w:evenHBand="0" w:firstRowFirstColumn="0" w:firstRowLastColumn="0" w:lastRowFirstColumn="0" w:lastRowLastColumn="0"/>
            </w:pPr>
            <w:proofErr w:type="spellStart"/>
            <w:r w:rsidRPr="006D76CD">
              <w:t>TWh</w:t>
            </w:r>
            <w:proofErr w:type="spellEnd"/>
            <w:r w:rsidRPr="006D76CD">
              <w:t xml:space="preserve"> gross</w:t>
            </w:r>
          </w:p>
        </w:tc>
        <w:tc>
          <w:tcPr>
            <w:cnfStyle w:val="000100000000" w:firstRow="0" w:lastRow="0" w:firstColumn="0" w:lastColumn="1" w:oddVBand="0" w:evenVBand="0" w:oddHBand="0" w:evenHBand="0" w:firstRowFirstColumn="0" w:firstRowLastColumn="0" w:lastRowFirstColumn="0" w:lastRowLastColumn="0"/>
            <w:tcW w:w="1134" w:type="dxa"/>
          </w:tcPr>
          <w:p w14:paraId="43E60D72" w14:textId="77777777" w:rsidR="007D7782" w:rsidRPr="006D76CD" w:rsidRDefault="007D7782" w:rsidP="00E723D3">
            <w:r w:rsidRPr="006D76CD">
              <w:t>83.2</w:t>
            </w:r>
          </w:p>
        </w:tc>
      </w:tr>
      <w:tr w:rsidR="007D7782" w:rsidRPr="006D76CD" w14:paraId="43E60D77" w14:textId="77777777" w:rsidTr="00E72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74" w14:textId="77777777" w:rsidR="007D7782" w:rsidRPr="006D76CD" w:rsidRDefault="007D7782" w:rsidP="00E723D3">
            <w:r w:rsidRPr="006D76CD">
              <w:t>Power generation from lignite</w:t>
            </w:r>
          </w:p>
        </w:tc>
        <w:tc>
          <w:tcPr>
            <w:tcW w:w="1020" w:type="dxa"/>
          </w:tcPr>
          <w:p w14:paraId="43E60D75" w14:textId="77777777" w:rsidR="007D7782" w:rsidRPr="006D76CD" w:rsidRDefault="007D7782" w:rsidP="00E723D3">
            <w:pPr>
              <w:cnfStyle w:val="000000100000" w:firstRow="0" w:lastRow="0" w:firstColumn="0" w:lastColumn="0" w:oddVBand="0" w:evenVBand="0" w:oddHBand="1" w:evenHBand="0" w:firstRowFirstColumn="0" w:firstRowLastColumn="0" w:lastRowFirstColumn="0" w:lastRowLastColumn="0"/>
            </w:pPr>
            <w:proofErr w:type="spellStart"/>
            <w:r w:rsidRPr="006D76CD">
              <w:t>TWh</w:t>
            </w:r>
            <w:proofErr w:type="spellEnd"/>
            <w:r w:rsidRPr="006D76CD">
              <w:t xml:space="preserve"> gross</w:t>
            </w:r>
          </w:p>
        </w:tc>
        <w:tc>
          <w:tcPr>
            <w:cnfStyle w:val="000100000000" w:firstRow="0" w:lastRow="0" w:firstColumn="0" w:lastColumn="1" w:oddVBand="0" w:evenVBand="0" w:oddHBand="0" w:evenHBand="0" w:firstRowFirstColumn="0" w:firstRowLastColumn="0" w:lastRowFirstColumn="0" w:lastRowLastColumn="0"/>
            <w:tcW w:w="1134" w:type="dxa"/>
          </w:tcPr>
          <w:p w14:paraId="43E60D76" w14:textId="77777777" w:rsidR="007D7782" w:rsidRPr="006D76CD" w:rsidRDefault="007D7782" w:rsidP="00E723D3">
            <w:r w:rsidRPr="006D76CD">
              <w:t>145.5</w:t>
            </w:r>
          </w:p>
        </w:tc>
      </w:tr>
      <w:tr w:rsidR="007D7782" w:rsidRPr="006D76CD" w14:paraId="43E60D7B" w14:textId="77777777" w:rsidTr="00E723D3">
        <w:tc>
          <w:tcPr>
            <w:cnfStyle w:val="001000000000" w:firstRow="0" w:lastRow="0" w:firstColumn="1" w:lastColumn="0" w:oddVBand="0" w:evenVBand="0" w:oddHBand="0" w:evenHBand="0" w:firstRowFirstColumn="0" w:firstRowLastColumn="0" w:lastRowFirstColumn="0" w:lastRowLastColumn="0"/>
            <w:tcW w:w="2721" w:type="dxa"/>
          </w:tcPr>
          <w:p w14:paraId="43E60D78" w14:textId="77777777" w:rsidR="007D7782" w:rsidRPr="006D76CD" w:rsidRDefault="007D7782" w:rsidP="00E723D3">
            <w:r w:rsidRPr="006D76CD">
              <w:t>Hard coal power generation capacity</w:t>
            </w:r>
          </w:p>
        </w:tc>
        <w:tc>
          <w:tcPr>
            <w:tcW w:w="1020" w:type="dxa"/>
          </w:tcPr>
          <w:p w14:paraId="43E60D79" w14:textId="77777777" w:rsidR="007D7782" w:rsidRPr="006D76CD" w:rsidRDefault="007D7782" w:rsidP="00E723D3">
            <w:pPr>
              <w:cnfStyle w:val="000000000000" w:firstRow="0" w:lastRow="0" w:firstColumn="0" w:lastColumn="0" w:oddVBand="0" w:evenVBand="0" w:oddHBand="0" w:evenHBand="0" w:firstRowFirstColumn="0" w:firstRowLastColumn="0" w:lastRowFirstColumn="0" w:lastRowLastColumn="0"/>
            </w:pPr>
            <w:r w:rsidRPr="006D76CD">
              <w:t>MW net</w:t>
            </w:r>
          </w:p>
        </w:tc>
        <w:tc>
          <w:tcPr>
            <w:cnfStyle w:val="000100000000" w:firstRow="0" w:lastRow="0" w:firstColumn="0" w:lastColumn="1" w:oddVBand="0" w:evenVBand="0" w:oddHBand="0" w:evenHBand="0" w:firstRowFirstColumn="0" w:firstRowLastColumn="0" w:lastRowFirstColumn="0" w:lastRowLastColumn="0"/>
            <w:tcW w:w="1134" w:type="dxa"/>
          </w:tcPr>
          <w:p w14:paraId="43E60D7A" w14:textId="77777777" w:rsidR="007D7782" w:rsidRPr="006D76CD" w:rsidRDefault="007D7782" w:rsidP="00E723D3">
            <w:pPr>
              <w:rPr>
                <w:highlight w:val="yellow"/>
              </w:rPr>
            </w:pPr>
            <w:r w:rsidRPr="006D76CD">
              <w:t>24 462</w:t>
            </w:r>
          </w:p>
        </w:tc>
      </w:tr>
      <w:tr w:rsidR="007D7782" w:rsidRPr="006D76CD" w14:paraId="43E60D7F" w14:textId="77777777" w:rsidTr="00E723D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0D7C" w14:textId="77777777" w:rsidR="007D7782" w:rsidRPr="006D76CD" w:rsidRDefault="007D7782" w:rsidP="00E723D3">
            <w:r w:rsidRPr="006D76CD">
              <w:t>Lignite power generation capacity</w:t>
            </w:r>
          </w:p>
        </w:tc>
        <w:tc>
          <w:tcPr>
            <w:tcW w:w="1020" w:type="dxa"/>
            <w:shd w:val="clear" w:color="auto" w:fill="FFFFFF" w:themeFill="background1"/>
          </w:tcPr>
          <w:p w14:paraId="43E60D7D" w14:textId="77777777" w:rsidR="007D7782" w:rsidRPr="006D76CD" w:rsidRDefault="007D7782" w:rsidP="00E723D3">
            <w:pPr>
              <w:cnfStyle w:val="010000000000" w:firstRow="0" w:lastRow="1" w:firstColumn="0" w:lastColumn="0" w:oddVBand="0" w:evenVBand="0" w:oddHBand="0" w:evenHBand="0" w:firstRowFirstColumn="0" w:firstRowLastColumn="0" w:lastRowFirstColumn="0" w:lastRowLastColumn="0"/>
            </w:pPr>
            <w:r w:rsidRPr="006D76CD">
              <w:t>MW net</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0D7E" w14:textId="77777777" w:rsidR="007D7782" w:rsidRPr="006D76CD" w:rsidRDefault="007D7782" w:rsidP="00E723D3">
            <w:r w:rsidRPr="006D76CD">
              <w:t>*20 327</w:t>
            </w:r>
          </w:p>
        </w:tc>
      </w:tr>
    </w:tbl>
    <w:p w14:paraId="43E60D80" w14:textId="77777777" w:rsidR="007D7782" w:rsidRPr="006D76CD" w:rsidRDefault="007D7782" w:rsidP="007D7782">
      <w:pPr>
        <w:pStyle w:val="CIAEtablespace"/>
      </w:pPr>
    </w:p>
    <w:tbl>
      <w:tblPr>
        <w:tblStyle w:val="Generaldata"/>
        <w:tblW w:w="4875" w:type="dxa"/>
        <w:tblLook w:val="05E0" w:firstRow="1" w:lastRow="1" w:firstColumn="1" w:lastColumn="1" w:noHBand="0" w:noVBand="1"/>
      </w:tblPr>
      <w:tblGrid>
        <w:gridCol w:w="2721"/>
        <w:gridCol w:w="1020"/>
        <w:gridCol w:w="1134"/>
      </w:tblGrid>
      <w:tr w:rsidR="007D7782" w:rsidRPr="006D76CD" w14:paraId="43E60D84" w14:textId="77777777" w:rsidTr="00E723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81" w14:textId="77777777" w:rsidR="007D7782" w:rsidRPr="006D76CD" w:rsidRDefault="007D7782" w:rsidP="00E723D3">
            <w:r w:rsidRPr="006D76CD">
              <w:t>Employment</w:t>
            </w:r>
          </w:p>
        </w:tc>
        <w:tc>
          <w:tcPr>
            <w:tcW w:w="1020" w:type="dxa"/>
          </w:tcPr>
          <w:p w14:paraId="43E60D82" w14:textId="77777777" w:rsidR="007D7782" w:rsidRPr="006D76CD" w:rsidRDefault="007D7782" w:rsidP="00E723D3">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D83" w14:textId="77777777" w:rsidR="007D7782" w:rsidRPr="006D76CD" w:rsidRDefault="007D7782" w:rsidP="00E723D3">
            <w:r w:rsidRPr="006D76CD">
              <w:t>2018</w:t>
            </w:r>
          </w:p>
        </w:tc>
      </w:tr>
      <w:tr w:rsidR="007D7782" w:rsidRPr="006D76CD" w14:paraId="43E60D88" w14:textId="77777777" w:rsidTr="00E72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85" w14:textId="77777777" w:rsidR="007D7782" w:rsidRPr="006D76CD" w:rsidRDefault="007D7782" w:rsidP="00E723D3">
            <w:r w:rsidRPr="006D76CD">
              <w:t>Direct in hard coal mining</w:t>
            </w:r>
          </w:p>
        </w:tc>
        <w:tc>
          <w:tcPr>
            <w:tcW w:w="1020" w:type="dxa"/>
          </w:tcPr>
          <w:p w14:paraId="43E60D86" w14:textId="77777777" w:rsidR="007D7782" w:rsidRPr="006D76CD" w:rsidRDefault="007D7782" w:rsidP="00E723D3">
            <w:pPr>
              <w:cnfStyle w:val="000000100000" w:firstRow="0" w:lastRow="0" w:firstColumn="0" w:lastColumn="0" w:oddVBand="0" w:evenVBand="0" w:oddHBand="1" w:evenHBand="0" w:firstRowFirstColumn="0" w:firstRowLastColumn="0" w:lastRowFirstColumn="0" w:lastRowLastColumn="0"/>
            </w:pPr>
            <w:r w:rsidRPr="006D76CD">
              <w:t>thousand</w:t>
            </w:r>
          </w:p>
        </w:tc>
        <w:tc>
          <w:tcPr>
            <w:cnfStyle w:val="000100000000" w:firstRow="0" w:lastRow="0" w:firstColumn="0" w:lastColumn="1" w:oddVBand="0" w:evenVBand="0" w:oddHBand="0" w:evenHBand="0" w:firstRowFirstColumn="0" w:firstRowLastColumn="0" w:lastRowFirstColumn="0" w:lastRowLastColumn="0"/>
            <w:tcW w:w="1134" w:type="dxa"/>
          </w:tcPr>
          <w:p w14:paraId="43E60D87" w14:textId="77777777" w:rsidR="007D7782" w:rsidRPr="006D76CD" w:rsidRDefault="007D7782" w:rsidP="00E723D3">
            <w:pPr>
              <w:rPr>
                <w:highlight w:val="yellow"/>
              </w:rPr>
            </w:pPr>
            <w:r w:rsidRPr="006D76CD">
              <w:t>4.125</w:t>
            </w:r>
          </w:p>
        </w:tc>
      </w:tr>
      <w:tr w:rsidR="007D7782" w:rsidRPr="006D76CD" w14:paraId="43E60D8C" w14:textId="77777777" w:rsidTr="00E723D3">
        <w:tc>
          <w:tcPr>
            <w:cnfStyle w:val="001000000000" w:firstRow="0" w:lastRow="0" w:firstColumn="1" w:lastColumn="0" w:oddVBand="0" w:evenVBand="0" w:oddHBand="0" w:evenHBand="0" w:firstRowFirstColumn="0" w:firstRowLastColumn="0" w:lastRowFirstColumn="0" w:lastRowLastColumn="0"/>
            <w:tcW w:w="2721" w:type="dxa"/>
          </w:tcPr>
          <w:p w14:paraId="43E60D89" w14:textId="77777777" w:rsidR="007D7782" w:rsidRPr="006D76CD" w:rsidRDefault="007D7782" w:rsidP="00E723D3">
            <w:r w:rsidRPr="006D76CD">
              <w:t>Direct in lignite mining</w:t>
            </w:r>
          </w:p>
        </w:tc>
        <w:tc>
          <w:tcPr>
            <w:tcW w:w="1020" w:type="dxa"/>
          </w:tcPr>
          <w:p w14:paraId="43E60D8A" w14:textId="77777777" w:rsidR="007D7782" w:rsidRPr="006D76CD" w:rsidRDefault="007D7782" w:rsidP="00E723D3">
            <w:pPr>
              <w:cnfStyle w:val="000000000000" w:firstRow="0" w:lastRow="0" w:firstColumn="0" w:lastColumn="0" w:oddVBand="0" w:evenVBand="0" w:oddHBand="0" w:evenHBand="0" w:firstRowFirstColumn="0" w:firstRowLastColumn="0" w:lastRowFirstColumn="0" w:lastRowLastColumn="0"/>
            </w:pPr>
            <w:r w:rsidRPr="006D76CD">
              <w:t>thousand</w:t>
            </w:r>
          </w:p>
        </w:tc>
        <w:tc>
          <w:tcPr>
            <w:cnfStyle w:val="000100000000" w:firstRow="0" w:lastRow="0" w:firstColumn="0" w:lastColumn="1" w:oddVBand="0" w:evenVBand="0" w:oddHBand="0" w:evenHBand="0" w:firstRowFirstColumn="0" w:firstRowLastColumn="0" w:lastRowFirstColumn="0" w:lastRowLastColumn="0"/>
            <w:tcW w:w="1134" w:type="dxa"/>
          </w:tcPr>
          <w:p w14:paraId="43E60D8B" w14:textId="77777777" w:rsidR="007D7782" w:rsidRPr="006D76CD" w:rsidRDefault="007D7782" w:rsidP="00E723D3">
            <w:r w:rsidRPr="006D76CD">
              <w:t>15.876</w:t>
            </w:r>
          </w:p>
        </w:tc>
      </w:tr>
      <w:tr w:rsidR="007D7782" w:rsidRPr="006D76CD" w14:paraId="43E60D90" w14:textId="77777777" w:rsidTr="00E72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8D" w14:textId="77777777" w:rsidR="007D7782" w:rsidRPr="006D76CD" w:rsidRDefault="007D7782" w:rsidP="00E723D3">
            <w:r w:rsidRPr="006D76CD">
              <w:t>Other hard coal-related*</w:t>
            </w:r>
            <w:r w:rsidR="001C0C5C">
              <w:t>*</w:t>
            </w:r>
          </w:p>
        </w:tc>
        <w:tc>
          <w:tcPr>
            <w:tcW w:w="1020" w:type="dxa"/>
          </w:tcPr>
          <w:p w14:paraId="43E60D8E" w14:textId="77777777" w:rsidR="007D7782" w:rsidRPr="006D76CD" w:rsidRDefault="007D7782" w:rsidP="00E723D3">
            <w:pPr>
              <w:cnfStyle w:val="000000100000" w:firstRow="0" w:lastRow="0" w:firstColumn="0" w:lastColumn="0" w:oddVBand="0" w:evenVBand="0" w:oddHBand="1" w:evenHBand="0" w:firstRowFirstColumn="0" w:firstRowLastColumn="0" w:lastRowFirstColumn="0" w:lastRowLastColumn="0"/>
            </w:pPr>
            <w:r w:rsidRPr="006D76CD">
              <w:t>thousand</w:t>
            </w:r>
          </w:p>
        </w:tc>
        <w:tc>
          <w:tcPr>
            <w:cnfStyle w:val="000100000000" w:firstRow="0" w:lastRow="0" w:firstColumn="0" w:lastColumn="1" w:oddVBand="0" w:evenVBand="0" w:oddHBand="0" w:evenHBand="0" w:firstRowFirstColumn="0" w:firstRowLastColumn="0" w:lastRowFirstColumn="0" w:lastRowLastColumn="0"/>
            <w:tcW w:w="1134" w:type="dxa"/>
          </w:tcPr>
          <w:p w14:paraId="43E60D8F" w14:textId="77777777" w:rsidR="007D7782" w:rsidRPr="006D76CD" w:rsidRDefault="007D7782" w:rsidP="00E723D3">
            <w:pPr>
              <w:rPr>
                <w:highlight w:val="yellow"/>
              </w:rPr>
            </w:pPr>
            <w:r w:rsidRPr="006D76CD">
              <w:t>15.000</w:t>
            </w:r>
          </w:p>
        </w:tc>
      </w:tr>
      <w:tr w:rsidR="007D7782" w:rsidRPr="006D76CD" w14:paraId="43E60D94" w14:textId="77777777" w:rsidTr="00E723D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91" w14:textId="77777777" w:rsidR="007D7782" w:rsidRPr="006D76CD" w:rsidRDefault="007D7782" w:rsidP="00E723D3">
            <w:r w:rsidRPr="006D76CD">
              <w:t>Other lignite-related*</w:t>
            </w:r>
            <w:r w:rsidR="001C0C5C">
              <w:t>*</w:t>
            </w:r>
          </w:p>
        </w:tc>
        <w:tc>
          <w:tcPr>
            <w:tcW w:w="1020" w:type="dxa"/>
          </w:tcPr>
          <w:p w14:paraId="43E60D92" w14:textId="77777777" w:rsidR="007D7782" w:rsidRPr="006D76CD" w:rsidRDefault="007D7782" w:rsidP="00E723D3">
            <w:pPr>
              <w:cnfStyle w:val="010000000000" w:firstRow="0" w:lastRow="1" w:firstColumn="0" w:lastColumn="0" w:oddVBand="0" w:evenVBand="0" w:oddHBand="0" w:evenHBand="0" w:firstRowFirstColumn="0" w:firstRowLastColumn="0" w:lastRowFirstColumn="0" w:lastRowLastColumn="0"/>
            </w:pPr>
            <w:r w:rsidRPr="006D76CD">
              <w:t>thousand</w:t>
            </w:r>
          </w:p>
        </w:tc>
        <w:tc>
          <w:tcPr>
            <w:cnfStyle w:val="000100000000" w:firstRow="0" w:lastRow="0" w:firstColumn="0" w:lastColumn="1" w:oddVBand="0" w:evenVBand="0" w:oddHBand="0" w:evenHBand="0" w:firstRowFirstColumn="0" w:firstRowLastColumn="0" w:lastRowFirstColumn="0" w:lastRowLastColumn="0"/>
            <w:tcW w:w="1134" w:type="dxa"/>
          </w:tcPr>
          <w:p w14:paraId="43E60D93" w14:textId="77777777" w:rsidR="007D7782" w:rsidRPr="006D76CD" w:rsidRDefault="007D7782" w:rsidP="00E723D3">
            <w:pPr>
              <w:rPr>
                <w:highlight w:val="yellow"/>
              </w:rPr>
            </w:pPr>
            <w:r w:rsidRPr="006D76CD">
              <w:t>4.979</w:t>
            </w:r>
          </w:p>
        </w:tc>
      </w:tr>
    </w:tbl>
    <w:p w14:paraId="43E60D95" w14:textId="77777777" w:rsidR="001C0C5C" w:rsidRPr="006D76CD" w:rsidRDefault="001C0C5C" w:rsidP="001C0C5C">
      <w:pPr>
        <w:pStyle w:val="CIAEtablefootnote"/>
      </w:pPr>
      <w:r w:rsidRPr="006D76CD">
        <w:t xml:space="preserve">* </w:t>
      </w:r>
      <w:proofErr w:type="gramStart"/>
      <w:r w:rsidRPr="006D76CD">
        <w:t>of</w:t>
      </w:r>
      <w:proofErr w:type="gramEnd"/>
      <w:r w:rsidRPr="006D76CD">
        <w:t xml:space="preserve"> which 1 973 MW is in a security standby reserve</w:t>
      </w:r>
    </w:p>
    <w:p w14:paraId="43E60D96" w14:textId="77777777" w:rsidR="007D7782" w:rsidRPr="006D76CD" w:rsidRDefault="001C0C5C" w:rsidP="007D7782">
      <w:pPr>
        <w:pStyle w:val="CIAEtablefootnote"/>
      </w:pPr>
      <w:r>
        <w:t>*</w:t>
      </w:r>
      <w:r w:rsidR="007D7782" w:rsidRPr="006D76CD">
        <w:t xml:space="preserve">* </w:t>
      </w:r>
      <w:proofErr w:type="gramStart"/>
      <w:r w:rsidR="007D7782" w:rsidRPr="006D76CD">
        <w:rPr>
          <w:i w:val="0"/>
        </w:rPr>
        <w:t>e.g.</w:t>
      </w:r>
      <w:proofErr w:type="gramEnd"/>
      <w:r w:rsidR="007D7782" w:rsidRPr="006D76CD">
        <w:t xml:space="preserve"> in power generation, equipment supply, services and R&amp;D</w:t>
      </w:r>
    </w:p>
    <w:p w14:paraId="43E60D97" w14:textId="77777777" w:rsidR="007D7782" w:rsidRPr="006D76CD" w:rsidRDefault="007D7782" w:rsidP="007D7782">
      <w:pPr>
        <w:pStyle w:val="CIAEtablespace"/>
      </w:pPr>
    </w:p>
    <w:sectPr w:rsidR="007D7782" w:rsidRPr="006D76CD" w:rsidSect="00FD0F82">
      <w:type w:val="continuous"/>
      <w:pgSz w:w="12247" w:h="17180" w:code="245"/>
      <w:pgMar w:top="1304" w:right="1021" w:bottom="1304" w:left="1021" w:header="567"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19FD" w14:textId="77777777" w:rsidR="00611919" w:rsidRDefault="00611919" w:rsidP="00CB2B37">
      <w:pPr>
        <w:spacing w:after="0" w:line="240" w:lineRule="auto"/>
      </w:pPr>
      <w:r>
        <w:separator/>
      </w:r>
    </w:p>
  </w:endnote>
  <w:endnote w:type="continuationSeparator" w:id="0">
    <w:p w14:paraId="43E619FE" w14:textId="77777777" w:rsidR="00611919" w:rsidRDefault="00611919" w:rsidP="00CB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19FB" w14:textId="77777777" w:rsidR="00611919" w:rsidRDefault="00611919" w:rsidP="00CB2B37">
      <w:pPr>
        <w:spacing w:after="0" w:line="240" w:lineRule="auto"/>
      </w:pPr>
      <w:r>
        <w:separator/>
      </w:r>
    </w:p>
  </w:footnote>
  <w:footnote w:type="continuationSeparator" w:id="0">
    <w:p w14:paraId="43E619FC" w14:textId="77777777" w:rsidR="00611919" w:rsidRDefault="00611919" w:rsidP="00CB2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E3B"/>
    <w:multiLevelType w:val="hybridMultilevel"/>
    <w:tmpl w:val="F00E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91534"/>
    <w:multiLevelType w:val="hybridMultilevel"/>
    <w:tmpl w:val="1D2A5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8694F"/>
    <w:multiLevelType w:val="hybridMultilevel"/>
    <w:tmpl w:val="85D4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25EB8"/>
    <w:multiLevelType w:val="hybridMultilevel"/>
    <w:tmpl w:val="F9D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F7C1D"/>
    <w:multiLevelType w:val="hybridMultilevel"/>
    <w:tmpl w:val="8BDE2624"/>
    <w:lvl w:ilvl="0" w:tplc="67720AE0">
      <w:start w:val="1"/>
      <w:numFmt w:val="decimal"/>
      <w:pStyle w:val="INSIGHTSplaceholder"/>
      <w:lvlText w:val="INSIGHTS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237009">
    <w:abstractNumId w:val="1"/>
  </w:num>
  <w:num w:numId="2" w16cid:durableId="1252399447">
    <w:abstractNumId w:val="4"/>
  </w:num>
  <w:num w:numId="3" w16cid:durableId="859852066">
    <w:abstractNumId w:val="2"/>
  </w:num>
  <w:num w:numId="4" w16cid:durableId="1073890488">
    <w:abstractNumId w:val="0"/>
  </w:num>
  <w:num w:numId="5" w16cid:durableId="376930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characterSpacingControl w:val="doNotCompress"/>
  <w:hdrShapeDefaults>
    <o:shapedefaults v:ext="edit" spidmax="8193">
      <o:colormru v:ext="edit" colors="#f0f0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0F6"/>
    <w:rsid w:val="00000F22"/>
    <w:rsid w:val="00000F71"/>
    <w:rsid w:val="00006846"/>
    <w:rsid w:val="00006912"/>
    <w:rsid w:val="000077F9"/>
    <w:rsid w:val="000100C1"/>
    <w:rsid w:val="00013AB7"/>
    <w:rsid w:val="00015243"/>
    <w:rsid w:val="00015715"/>
    <w:rsid w:val="00015F96"/>
    <w:rsid w:val="00016696"/>
    <w:rsid w:val="00017E84"/>
    <w:rsid w:val="00020757"/>
    <w:rsid w:val="00020A26"/>
    <w:rsid w:val="00020CE9"/>
    <w:rsid w:val="00021FF1"/>
    <w:rsid w:val="0002447C"/>
    <w:rsid w:val="0002475E"/>
    <w:rsid w:val="00024D08"/>
    <w:rsid w:val="00024E74"/>
    <w:rsid w:val="00025022"/>
    <w:rsid w:val="0002563B"/>
    <w:rsid w:val="00026137"/>
    <w:rsid w:val="0002656A"/>
    <w:rsid w:val="000267A9"/>
    <w:rsid w:val="00026A0F"/>
    <w:rsid w:val="00026E42"/>
    <w:rsid w:val="000278FA"/>
    <w:rsid w:val="0003414F"/>
    <w:rsid w:val="000342D1"/>
    <w:rsid w:val="00037319"/>
    <w:rsid w:val="000375FF"/>
    <w:rsid w:val="00037E68"/>
    <w:rsid w:val="0004113E"/>
    <w:rsid w:val="00041451"/>
    <w:rsid w:val="00041581"/>
    <w:rsid w:val="0004185D"/>
    <w:rsid w:val="00042224"/>
    <w:rsid w:val="000422A8"/>
    <w:rsid w:val="000425D3"/>
    <w:rsid w:val="00042998"/>
    <w:rsid w:val="00042A94"/>
    <w:rsid w:val="00046188"/>
    <w:rsid w:val="0004651F"/>
    <w:rsid w:val="00046747"/>
    <w:rsid w:val="00046CDC"/>
    <w:rsid w:val="0004722B"/>
    <w:rsid w:val="0005006D"/>
    <w:rsid w:val="0005022F"/>
    <w:rsid w:val="00050A44"/>
    <w:rsid w:val="00051F00"/>
    <w:rsid w:val="00052725"/>
    <w:rsid w:val="00053509"/>
    <w:rsid w:val="00053C26"/>
    <w:rsid w:val="000546C1"/>
    <w:rsid w:val="000562E8"/>
    <w:rsid w:val="000569A6"/>
    <w:rsid w:val="00056A4E"/>
    <w:rsid w:val="00057B30"/>
    <w:rsid w:val="00057F88"/>
    <w:rsid w:val="00060A0A"/>
    <w:rsid w:val="0006171D"/>
    <w:rsid w:val="00061838"/>
    <w:rsid w:val="00065C07"/>
    <w:rsid w:val="00067731"/>
    <w:rsid w:val="00072FF7"/>
    <w:rsid w:val="0007571E"/>
    <w:rsid w:val="000766D5"/>
    <w:rsid w:val="00080939"/>
    <w:rsid w:val="00080E08"/>
    <w:rsid w:val="00081A6B"/>
    <w:rsid w:val="00083C11"/>
    <w:rsid w:val="00084545"/>
    <w:rsid w:val="000847FE"/>
    <w:rsid w:val="00084B4D"/>
    <w:rsid w:val="0009003B"/>
    <w:rsid w:val="00090972"/>
    <w:rsid w:val="00090AE6"/>
    <w:rsid w:val="0009288B"/>
    <w:rsid w:val="00093A4B"/>
    <w:rsid w:val="00095539"/>
    <w:rsid w:val="0009635F"/>
    <w:rsid w:val="00096462"/>
    <w:rsid w:val="00096CDB"/>
    <w:rsid w:val="00097B97"/>
    <w:rsid w:val="000A058A"/>
    <w:rsid w:val="000A0F9E"/>
    <w:rsid w:val="000A16DA"/>
    <w:rsid w:val="000A286C"/>
    <w:rsid w:val="000A465E"/>
    <w:rsid w:val="000A66A8"/>
    <w:rsid w:val="000A766B"/>
    <w:rsid w:val="000B17FA"/>
    <w:rsid w:val="000B285E"/>
    <w:rsid w:val="000B34C6"/>
    <w:rsid w:val="000B36FF"/>
    <w:rsid w:val="000C208A"/>
    <w:rsid w:val="000C38BE"/>
    <w:rsid w:val="000C3EB9"/>
    <w:rsid w:val="000C633F"/>
    <w:rsid w:val="000C6342"/>
    <w:rsid w:val="000C6585"/>
    <w:rsid w:val="000C7DD6"/>
    <w:rsid w:val="000D1A4D"/>
    <w:rsid w:val="000D2187"/>
    <w:rsid w:val="000D2222"/>
    <w:rsid w:val="000D4722"/>
    <w:rsid w:val="000D4B03"/>
    <w:rsid w:val="000D5B2C"/>
    <w:rsid w:val="000D6C6B"/>
    <w:rsid w:val="000D78FA"/>
    <w:rsid w:val="000D7B43"/>
    <w:rsid w:val="000E03BE"/>
    <w:rsid w:val="000E3B37"/>
    <w:rsid w:val="000E3E4F"/>
    <w:rsid w:val="000E4791"/>
    <w:rsid w:val="000E5C73"/>
    <w:rsid w:val="000F126E"/>
    <w:rsid w:val="000F3FC6"/>
    <w:rsid w:val="000F53A2"/>
    <w:rsid w:val="000F5DCC"/>
    <w:rsid w:val="000F5F2E"/>
    <w:rsid w:val="000F788E"/>
    <w:rsid w:val="00101731"/>
    <w:rsid w:val="00101B51"/>
    <w:rsid w:val="001023B1"/>
    <w:rsid w:val="00104206"/>
    <w:rsid w:val="001066AB"/>
    <w:rsid w:val="00106B65"/>
    <w:rsid w:val="00106E4E"/>
    <w:rsid w:val="00106F77"/>
    <w:rsid w:val="00110430"/>
    <w:rsid w:val="00110A9A"/>
    <w:rsid w:val="00112E5F"/>
    <w:rsid w:val="00112F10"/>
    <w:rsid w:val="001141DB"/>
    <w:rsid w:val="00115344"/>
    <w:rsid w:val="00115D02"/>
    <w:rsid w:val="00115D8D"/>
    <w:rsid w:val="00116D03"/>
    <w:rsid w:val="00116F51"/>
    <w:rsid w:val="0012333D"/>
    <w:rsid w:val="00125658"/>
    <w:rsid w:val="0012664D"/>
    <w:rsid w:val="00127283"/>
    <w:rsid w:val="0013075C"/>
    <w:rsid w:val="00131637"/>
    <w:rsid w:val="00131694"/>
    <w:rsid w:val="00131FCA"/>
    <w:rsid w:val="00133416"/>
    <w:rsid w:val="0013369D"/>
    <w:rsid w:val="00134532"/>
    <w:rsid w:val="001358B3"/>
    <w:rsid w:val="00137022"/>
    <w:rsid w:val="00137A7B"/>
    <w:rsid w:val="0014047F"/>
    <w:rsid w:val="00140A0A"/>
    <w:rsid w:val="00140FCD"/>
    <w:rsid w:val="00142E74"/>
    <w:rsid w:val="00142EB4"/>
    <w:rsid w:val="0014406F"/>
    <w:rsid w:val="00144A48"/>
    <w:rsid w:val="00145ABC"/>
    <w:rsid w:val="0014761E"/>
    <w:rsid w:val="00147A04"/>
    <w:rsid w:val="00147C16"/>
    <w:rsid w:val="001511C4"/>
    <w:rsid w:val="00152702"/>
    <w:rsid w:val="0015330B"/>
    <w:rsid w:val="00156A87"/>
    <w:rsid w:val="00157C70"/>
    <w:rsid w:val="00157DD0"/>
    <w:rsid w:val="001603AC"/>
    <w:rsid w:val="001609CD"/>
    <w:rsid w:val="00162EE3"/>
    <w:rsid w:val="00163551"/>
    <w:rsid w:val="00164875"/>
    <w:rsid w:val="00164B2D"/>
    <w:rsid w:val="00166388"/>
    <w:rsid w:val="0017037F"/>
    <w:rsid w:val="001713A8"/>
    <w:rsid w:val="00171B92"/>
    <w:rsid w:val="00172312"/>
    <w:rsid w:val="0017257D"/>
    <w:rsid w:val="001759A2"/>
    <w:rsid w:val="00175C07"/>
    <w:rsid w:val="00181078"/>
    <w:rsid w:val="00182F68"/>
    <w:rsid w:val="00183745"/>
    <w:rsid w:val="001839D1"/>
    <w:rsid w:val="00183AB9"/>
    <w:rsid w:val="00184CF5"/>
    <w:rsid w:val="00185D00"/>
    <w:rsid w:val="00186476"/>
    <w:rsid w:val="00187440"/>
    <w:rsid w:val="001877CB"/>
    <w:rsid w:val="00187CCB"/>
    <w:rsid w:val="00190C0B"/>
    <w:rsid w:val="00190C35"/>
    <w:rsid w:val="00191BB5"/>
    <w:rsid w:val="001921BF"/>
    <w:rsid w:val="0019252C"/>
    <w:rsid w:val="00192DE8"/>
    <w:rsid w:val="00195E68"/>
    <w:rsid w:val="001A2AB0"/>
    <w:rsid w:val="001A472D"/>
    <w:rsid w:val="001A50C2"/>
    <w:rsid w:val="001A5BBA"/>
    <w:rsid w:val="001B104B"/>
    <w:rsid w:val="001B3A80"/>
    <w:rsid w:val="001B4C5B"/>
    <w:rsid w:val="001B5842"/>
    <w:rsid w:val="001C0A98"/>
    <w:rsid w:val="001C0C5C"/>
    <w:rsid w:val="001C6227"/>
    <w:rsid w:val="001C6903"/>
    <w:rsid w:val="001C7E6B"/>
    <w:rsid w:val="001D0A49"/>
    <w:rsid w:val="001D0BD5"/>
    <w:rsid w:val="001D0C10"/>
    <w:rsid w:val="001D55EF"/>
    <w:rsid w:val="001D6450"/>
    <w:rsid w:val="001D7048"/>
    <w:rsid w:val="001D7853"/>
    <w:rsid w:val="001D797A"/>
    <w:rsid w:val="001E10BE"/>
    <w:rsid w:val="001E1918"/>
    <w:rsid w:val="001E470E"/>
    <w:rsid w:val="001E5358"/>
    <w:rsid w:val="001E55F3"/>
    <w:rsid w:val="001E7EB5"/>
    <w:rsid w:val="001F2AEE"/>
    <w:rsid w:val="001F6954"/>
    <w:rsid w:val="001F6C4E"/>
    <w:rsid w:val="001F731B"/>
    <w:rsid w:val="00200049"/>
    <w:rsid w:val="00200BF1"/>
    <w:rsid w:val="00202429"/>
    <w:rsid w:val="00204D8D"/>
    <w:rsid w:val="002051D1"/>
    <w:rsid w:val="00207C31"/>
    <w:rsid w:val="002103BC"/>
    <w:rsid w:val="00211BE1"/>
    <w:rsid w:val="00213512"/>
    <w:rsid w:val="0021462A"/>
    <w:rsid w:val="002155B1"/>
    <w:rsid w:val="00215BBE"/>
    <w:rsid w:val="0022008C"/>
    <w:rsid w:val="00221CDC"/>
    <w:rsid w:val="00222F23"/>
    <w:rsid w:val="002235C0"/>
    <w:rsid w:val="00224121"/>
    <w:rsid w:val="002246DE"/>
    <w:rsid w:val="0022612D"/>
    <w:rsid w:val="00226A47"/>
    <w:rsid w:val="002277A1"/>
    <w:rsid w:val="00227926"/>
    <w:rsid w:val="00227CD7"/>
    <w:rsid w:val="00230DAC"/>
    <w:rsid w:val="00230E43"/>
    <w:rsid w:val="00231334"/>
    <w:rsid w:val="002313CE"/>
    <w:rsid w:val="00231540"/>
    <w:rsid w:val="00231DF6"/>
    <w:rsid w:val="00234617"/>
    <w:rsid w:val="00234D61"/>
    <w:rsid w:val="00235271"/>
    <w:rsid w:val="002361CD"/>
    <w:rsid w:val="002367F4"/>
    <w:rsid w:val="0023695F"/>
    <w:rsid w:val="00237492"/>
    <w:rsid w:val="00237C2D"/>
    <w:rsid w:val="0024005A"/>
    <w:rsid w:val="00240E85"/>
    <w:rsid w:val="00241EA6"/>
    <w:rsid w:val="002465EC"/>
    <w:rsid w:val="00246768"/>
    <w:rsid w:val="002471BE"/>
    <w:rsid w:val="00247836"/>
    <w:rsid w:val="0025046C"/>
    <w:rsid w:val="002513E3"/>
    <w:rsid w:val="002525AA"/>
    <w:rsid w:val="00253711"/>
    <w:rsid w:val="0025444D"/>
    <w:rsid w:val="00254575"/>
    <w:rsid w:val="00254D71"/>
    <w:rsid w:val="002551F4"/>
    <w:rsid w:val="00255B3D"/>
    <w:rsid w:val="00256703"/>
    <w:rsid w:val="00257F20"/>
    <w:rsid w:val="00257FB4"/>
    <w:rsid w:val="00261479"/>
    <w:rsid w:val="00261780"/>
    <w:rsid w:val="002655FD"/>
    <w:rsid w:val="002657BC"/>
    <w:rsid w:val="002708FB"/>
    <w:rsid w:val="00275846"/>
    <w:rsid w:val="00275F10"/>
    <w:rsid w:val="002820F7"/>
    <w:rsid w:val="00284061"/>
    <w:rsid w:val="002840B4"/>
    <w:rsid w:val="00284C8E"/>
    <w:rsid w:val="002858E2"/>
    <w:rsid w:val="0028667E"/>
    <w:rsid w:val="00286DEA"/>
    <w:rsid w:val="0028753D"/>
    <w:rsid w:val="00287711"/>
    <w:rsid w:val="002913FD"/>
    <w:rsid w:val="00292348"/>
    <w:rsid w:val="0029236D"/>
    <w:rsid w:val="00292736"/>
    <w:rsid w:val="00292768"/>
    <w:rsid w:val="00294E77"/>
    <w:rsid w:val="00296677"/>
    <w:rsid w:val="002966DE"/>
    <w:rsid w:val="00296BB5"/>
    <w:rsid w:val="002A0189"/>
    <w:rsid w:val="002A02E6"/>
    <w:rsid w:val="002A45AF"/>
    <w:rsid w:val="002A4636"/>
    <w:rsid w:val="002A47DC"/>
    <w:rsid w:val="002A7445"/>
    <w:rsid w:val="002B0331"/>
    <w:rsid w:val="002B11D4"/>
    <w:rsid w:val="002B2241"/>
    <w:rsid w:val="002B2579"/>
    <w:rsid w:val="002B27B6"/>
    <w:rsid w:val="002B477E"/>
    <w:rsid w:val="002B478C"/>
    <w:rsid w:val="002B769F"/>
    <w:rsid w:val="002C0122"/>
    <w:rsid w:val="002C0776"/>
    <w:rsid w:val="002C3661"/>
    <w:rsid w:val="002C3AB0"/>
    <w:rsid w:val="002C4857"/>
    <w:rsid w:val="002C48BA"/>
    <w:rsid w:val="002C52D6"/>
    <w:rsid w:val="002C5B82"/>
    <w:rsid w:val="002D0668"/>
    <w:rsid w:val="002D17CD"/>
    <w:rsid w:val="002D20D9"/>
    <w:rsid w:val="002D257E"/>
    <w:rsid w:val="002D284C"/>
    <w:rsid w:val="002D2A1D"/>
    <w:rsid w:val="002D303A"/>
    <w:rsid w:val="002D5E8B"/>
    <w:rsid w:val="002D60CC"/>
    <w:rsid w:val="002E051B"/>
    <w:rsid w:val="002E0A75"/>
    <w:rsid w:val="002E1092"/>
    <w:rsid w:val="002E1448"/>
    <w:rsid w:val="002E39A6"/>
    <w:rsid w:val="002E457F"/>
    <w:rsid w:val="002E7CFF"/>
    <w:rsid w:val="002F2FA4"/>
    <w:rsid w:val="002F3244"/>
    <w:rsid w:val="002F3336"/>
    <w:rsid w:val="002F48E4"/>
    <w:rsid w:val="002F5EA4"/>
    <w:rsid w:val="002F6374"/>
    <w:rsid w:val="00300176"/>
    <w:rsid w:val="0030078C"/>
    <w:rsid w:val="00302AB7"/>
    <w:rsid w:val="00302D9C"/>
    <w:rsid w:val="003035FD"/>
    <w:rsid w:val="003040EA"/>
    <w:rsid w:val="00305945"/>
    <w:rsid w:val="003059A6"/>
    <w:rsid w:val="0031147E"/>
    <w:rsid w:val="00312508"/>
    <w:rsid w:val="00312AF9"/>
    <w:rsid w:val="00312DD6"/>
    <w:rsid w:val="00315F5E"/>
    <w:rsid w:val="0031657E"/>
    <w:rsid w:val="00321189"/>
    <w:rsid w:val="00322660"/>
    <w:rsid w:val="00322B2B"/>
    <w:rsid w:val="00322D16"/>
    <w:rsid w:val="00322EDD"/>
    <w:rsid w:val="00322F51"/>
    <w:rsid w:val="003234F2"/>
    <w:rsid w:val="003266D2"/>
    <w:rsid w:val="00327B72"/>
    <w:rsid w:val="003307A3"/>
    <w:rsid w:val="003307D1"/>
    <w:rsid w:val="00330CB3"/>
    <w:rsid w:val="00332F21"/>
    <w:rsid w:val="00334C43"/>
    <w:rsid w:val="003373FB"/>
    <w:rsid w:val="00337970"/>
    <w:rsid w:val="00340922"/>
    <w:rsid w:val="00341518"/>
    <w:rsid w:val="00342443"/>
    <w:rsid w:val="00342F5D"/>
    <w:rsid w:val="00343820"/>
    <w:rsid w:val="00343A06"/>
    <w:rsid w:val="00343F65"/>
    <w:rsid w:val="0034445B"/>
    <w:rsid w:val="00344C4F"/>
    <w:rsid w:val="00344D30"/>
    <w:rsid w:val="003458FC"/>
    <w:rsid w:val="00345D2A"/>
    <w:rsid w:val="003462C8"/>
    <w:rsid w:val="00346673"/>
    <w:rsid w:val="0034722B"/>
    <w:rsid w:val="00351646"/>
    <w:rsid w:val="003522FF"/>
    <w:rsid w:val="00352FF9"/>
    <w:rsid w:val="00353286"/>
    <w:rsid w:val="003532E1"/>
    <w:rsid w:val="00353405"/>
    <w:rsid w:val="003545BE"/>
    <w:rsid w:val="00355116"/>
    <w:rsid w:val="003554BD"/>
    <w:rsid w:val="00355CFA"/>
    <w:rsid w:val="00360539"/>
    <w:rsid w:val="003619D4"/>
    <w:rsid w:val="00361BF8"/>
    <w:rsid w:val="00362617"/>
    <w:rsid w:val="00363033"/>
    <w:rsid w:val="0036498E"/>
    <w:rsid w:val="00364A23"/>
    <w:rsid w:val="00364F16"/>
    <w:rsid w:val="0036613F"/>
    <w:rsid w:val="0037572A"/>
    <w:rsid w:val="00376419"/>
    <w:rsid w:val="0038015D"/>
    <w:rsid w:val="0038250B"/>
    <w:rsid w:val="00386CA6"/>
    <w:rsid w:val="003873D3"/>
    <w:rsid w:val="00390DD1"/>
    <w:rsid w:val="003915DA"/>
    <w:rsid w:val="00391A0A"/>
    <w:rsid w:val="003921E2"/>
    <w:rsid w:val="00392C13"/>
    <w:rsid w:val="003950EE"/>
    <w:rsid w:val="003A0504"/>
    <w:rsid w:val="003A11FE"/>
    <w:rsid w:val="003A2D71"/>
    <w:rsid w:val="003A330C"/>
    <w:rsid w:val="003A51C5"/>
    <w:rsid w:val="003A5E6F"/>
    <w:rsid w:val="003A6AE1"/>
    <w:rsid w:val="003A6C47"/>
    <w:rsid w:val="003B053A"/>
    <w:rsid w:val="003B126D"/>
    <w:rsid w:val="003B1C17"/>
    <w:rsid w:val="003B3CD0"/>
    <w:rsid w:val="003B3D9D"/>
    <w:rsid w:val="003B4DDF"/>
    <w:rsid w:val="003B550D"/>
    <w:rsid w:val="003B582F"/>
    <w:rsid w:val="003B7069"/>
    <w:rsid w:val="003B79D5"/>
    <w:rsid w:val="003C0CE3"/>
    <w:rsid w:val="003C0FE1"/>
    <w:rsid w:val="003C58EF"/>
    <w:rsid w:val="003C67BA"/>
    <w:rsid w:val="003C7348"/>
    <w:rsid w:val="003D0F76"/>
    <w:rsid w:val="003D1C57"/>
    <w:rsid w:val="003D3F31"/>
    <w:rsid w:val="003D3F9C"/>
    <w:rsid w:val="003D4D75"/>
    <w:rsid w:val="003D52FE"/>
    <w:rsid w:val="003D6B59"/>
    <w:rsid w:val="003D75A7"/>
    <w:rsid w:val="003D7EB3"/>
    <w:rsid w:val="003E0A67"/>
    <w:rsid w:val="003E14B1"/>
    <w:rsid w:val="003E1670"/>
    <w:rsid w:val="003E1F33"/>
    <w:rsid w:val="003E5078"/>
    <w:rsid w:val="003F04C3"/>
    <w:rsid w:val="003F0577"/>
    <w:rsid w:val="003F093D"/>
    <w:rsid w:val="003F0D88"/>
    <w:rsid w:val="003F0DED"/>
    <w:rsid w:val="003F230D"/>
    <w:rsid w:val="003F4A84"/>
    <w:rsid w:val="003F7266"/>
    <w:rsid w:val="003F7C8C"/>
    <w:rsid w:val="00403A6F"/>
    <w:rsid w:val="00403CE7"/>
    <w:rsid w:val="004078C7"/>
    <w:rsid w:val="00410236"/>
    <w:rsid w:val="00411942"/>
    <w:rsid w:val="00412849"/>
    <w:rsid w:val="00412EE2"/>
    <w:rsid w:val="00413E18"/>
    <w:rsid w:val="00414185"/>
    <w:rsid w:val="00415656"/>
    <w:rsid w:val="00417831"/>
    <w:rsid w:val="00417D3C"/>
    <w:rsid w:val="004225AE"/>
    <w:rsid w:val="00422F22"/>
    <w:rsid w:val="0042393B"/>
    <w:rsid w:val="00423E59"/>
    <w:rsid w:val="0042553D"/>
    <w:rsid w:val="004262DC"/>
    <w:rsid w:val="0042679C"/>
    <w:rsid w:val="00427D6D"/>
    <w:rsid w:val="004305C8"/>
    <w:rsid w:val="00430AD5"/>
    <w:rsid w:val="00430C87"/>
    <w:rsid w:val="004332DF"/>
    <w:rsid w:val="0043389B"/>
    <w:rsid w:val="00433C24"/>
    <w:rsid w:val="0043431D"/>
    <w:rsid w:val="0043433D"/>
    <w:rsid w:val="004353AB"/>
    <w:rsid w:val="00436E8E"/>
    <w:rsid w:val="00437677"/>
    <w:rsid w:val="00437BB4"/>
    <w:rsid w:val="00441473"/>
    <w:rsid w:val="00441A28"/>
    <w:rsid w:val="0044272B"/>
    <w:rsid w:val="004446B2"/>
    <w:rsid w:val="00444746"/>
    <w:rsid w:val="0044584A"/>
    <w:rsid w:val="00445BC4"/>
    <w:rsid w:val="004470E6"/>
    <w:rsid w:val="00450CBA"/>
    <w:rsid w:val="00454A72"/>
    <w:rsid w:val="00455EA9"/>
    <w:rsid w:val="00456547"/>
    <w:rsid w:val="004570CC"/>
    <w:rsid w:val="00457DD3"/>
    <w:rsid w:val="00463FCD"/>
    <w:rsid w:val="00465072"/>
    <w:rsid w:val="00465632"/>
    <w:rsid w:val="004663CF"/>
    <w:rsid w:val="00466936"/>
    <w:rsid w:val="00466BC8"/>
    <w:rsid w:val="00470AC4"/>
    <w:rsid w:val="00471E6C"/>
    <w:rsid w:val="00474288"/>
    <w:rsid w:val="00474726"/>
    <w:rsid w:val="00474BBF"/>
    <w:rsid w:val="00474EA6"/>
    <w:rsid w:val="00475268"/>
    <w:rsid w:val="00475551"/>
    <w:rsid w:val="0047617E"/>
    <w:rsid w:val="004807AD"/>
    <w:rsid w:val="0048335D"/>
    <w:rsid w:val="00483B2C"/>
    <w:rsid w:val="004859D1"/>
    <w:rsid w:val="00485CAA"/>
    <w:rsid w:val="0048650C"/>
    <w:rsid w:val="004907C8"/>
    <w:rsid w:val="00491B37"/>
    <w:rsid w:val="00492080"/>
    <w:rsid w:val="00492154"/>
    <w:rsid w:val="004938AE"/>
    <w:rsid w:val="00494895"/>
    <w:rsid w:val="00494CA0"/>
    <w:rsid w:val="00494D7E"/>
    <w:rsid w:val="004A08CE"/>
    <w:rsid w:val="004A101A"/>
    <w:rsid w:val="004A31E3"/>
    <w:rsid w:val="004A372D"/>
    <w:rsid w:val="004A3846"/>
    <w:rsid w:val="004A40B0"/>
    <w:rsid w:val="004A43E5"/>
    <w:rsid w:val="004A640B"/>
    <w:rsid w:val="004B1AD9"/>
    <w:rsid w:val="004B37CA"/>
    <w:rsid w:val="004B3FF0"/>
    <w:rsid w:val="004B5069"/>
    <w:rsid w:val="004B605C"/>
    <w:rsid w:val="004B6755"/>
    <w:rsid w:val="004B6A6A"/>
    <w:rsid w:val="004B6D3F"/>
    <w:rsid w:val="004B7231"/>
    <w:rsid w:val="004C02D0"/>
    <w:rsid w:val="004C0C4B"/>
    <w:rsid w:val="004C147F"/>
    <w:rsid w:val="004C4EED"/>
    <w:rsid w:val="004D0C0C"/>
    <w:rsid w:val="004D3F14"/>
    <w:rsid w:val="004D6D94"/>
    <w:rsid w:val="004E0E1E"/>
    <w:rsid w:val="004E116E"/>
    <w:rsid w:val="004E227C"/>
    <w:rsid w:val="004E29A0"/>
    <w:rsid w:val="004E32F3"/>
    <w:rsid w:val="004E4337"/>
    <w:rsid w:val="004E445A"/>
    <w:rsid w:val="004E53EB"/>
    <w:rsid w:val="004E5CC5"/>
    <w:rsid w:val="004E6210"/>
    <w:rsid w:val="004F03C4"/>
    <w:rsid w:val="004F4E46"/>
    <w:rsid w:val="004F540C"/>
    <w:rsid w:val="004F54CB"/>
    <w:rsid w:val="004F54E0"/>
    <w:rsid w:val="004F5AF9"/>
    <w:rsid w:val="004F5BEE"/>
    <w:rsid w:val="004F6600"/>
    <w:rsid w:val="004F75EB"/>
    <w:rsid w:val="00500B3E"/>
    <w:rsid w:val="00501149"/>
    <w:rsid w:val="00502154"/>
    <w:rsid w:val="00502A8B"/>
    <w:rsid w:val="00502E4B"/>
    <w:rsid w:val="005063A7"/>
    <w:rsid w:val="00506616"/>
    <w:rsid w:val="00506951"/>
    <w:rsid w:val="00507037"/>
    <w:rsid w:val="0050720F"/>
    <w:rsid w:val="0050731E"/>
    <w:rsid w:val="00511DA0"/>
    <w:rsid w:val="00513528"/>
    <w:rsid w:val="005153DE"/>
    <w:rsid w:val="0051698A"/>
    <w:rsid w:val="00516F4D"/>
    <w:rsid w:val="00517471"/>
    <w:rsid w:val="00517BFD"/>
    <w:rsid w:val="00520240"/>
    <w:rsid w:val="00521636"/>
    <w:rsid w:val="00521D6B"/>
    <w:rsid w:val="00526002"/>
    <w:rsid w:val="00526958"/>
    <w:rsid w:val="00532598"/>
    <w:rsid w:val="00533128"/>
    <w:rsid w:val="00533929"/>
    <w:rsid w:val="00533C73"/>
    <w:rsid w:val="00536AE2"/>
    <w:rsid w:val="00537846"/>
    <w:rsid w:val="00537D6B"/>
    <w:rsid w:val="005412C9"/>
    <w:rsid w:val="00541FAE"/>
    <w:rsid w:val="00542C34"/>
    <w:rsid w:val="0054424C"/>
    <w:rsid w:val="005459FA"/>
    <w:rsid w:val="00545B4C"/>
    <w:rsid w:val="00547868"/>
    <w:rsid w:val="005510CC"/>
    <w:rsid w:val="00553B30"/>
    <w:rsid w:val="00554BE1"/>
    <w:rsid w:val="00554FE4"/>
    <w:rsid w:val="00554FEB"/>
    <w:rsid w:val="00555F38"/>
    <w:rsid w:val="00556B07"/>
    <w:rsid w:val="0055726F"/>
    <w:rsid w:val="00557BA9"/>
    <w:rsid w:val="005607EC"/>
    <w:rsid w:val="00561120"/>
    <w:rsid w:val="00562BCC"/>
    <w:rsid w:val="005630CB"/>
    <w:rsid w:val="00564553"/>
    <w:rsid w:val="005730DA"/>
    <w:rsid w:val="00573D97"/>
    <w:rsid w:val="00573FA3"/>
    <w:rsid w:val="00573FE8"/>
    <w:rsid w:val="00574B6F"/>
    <w:rsid w:val="00575404"/>
    <w:rsid w:val="005809A5"/>
    <w:rsid w:val="00580BDF"/>
    <w:rsid w:val="00582003"/>
    <w:rsid w:val="005825B0"/>
    <w:rsid w:val="005842EE"/>
    <w:rsid w:val="00585D7C"/>
    <w:rsid w:val="0058655D"/>
    <w:rsid w:val="00590EFB"/>
    <w:rsid w:val="005951CD"/>
    <w:rsid w:val="00595E97"/>
    <w:rsid w:val="00596875"/>
    <w:rsid w:val="0059733D"/>
    <w:rsid w:val="00597E52"/>
    <w:rsid w:val="005A0DD8"/>
    <w:rsid w:val="005A122B"/>
    <w:rsid w:val="005A1CC9"/>
    <w:rsid w:val="005A27CB"/>
    <w:rsid w:val="005A3F68"/>
    <w:rsid w:val="005A4844"/>
    <w:rsid w:val="005A5481"/>
    <w:rsid w:val="005A654B"/>
    <w:rsid w:val="005A772D"/>
    <w:rsid w:val="005B0CD1"/>
    <w:rsid w:val="005B1C0F"/>
    <w:rsid w:val="005B2A4F"/>
    <w:rsid w:val="005B35E0"/>
    <w:rsid w:val="005B40C0"/>
    <w:rsid w:val="005B527E"/>
    <w:rsid w:val="005B57A0"/>
    <w:rsid w:val="005B58A4"/>
    <w:rsid w:val="005B5933"/>
    <w:rsid w:val="005B6999"/>
    <w:rsid w:val="005C0B4D"/>
    <w:rsid w:val="005C0E4B"/>
    <w:rsid w:val="005C1790"/>
    <w:rsid w:val="005C349B"/>
    <w:rsid w:val="005C35B3"/>
    <w:rsid w:val="005C41C6"/>
    <w:rsid w:val="005C46A1"/>
    <w:rsid w:val="005C475F"/>
    <w:rsid w:val="005C51A5"/>
    <w:rsid w:val="005C5437"/>
    <w:rsid w:val="005D1F7F"/>
    <w:rsid w:val="005D53A5"/>
    <w:rsid w:val="005D6E42"/>
    <w:rsid w:val="005D7643"/>
    <w:rsid w:val="005E352B"/>
    <w:rsid w:val="005E38CB"/>
    <w:rsid w:val="005E3AFF"/>
    <w:rsid w:val="005E4CBC"/>
    <w:rsid w:val="005E57F4"/>
    <w:rsid w:val="005E58DB"/>
    <w:rsid w:val="005E6B4B"/>
    <w:rsid w:val="005E75E6"/>
    <w:rsid w:val="005F0AC0"/>
    <w:rsid w:val="005F0EFB"/>
    <w:rsid w:val="005F376F"/>
    <w:rsid w:val="005F4243"/>
    <w:rsid w:val="005F68C8"/>
    <w:rsid w:val="005F7038"/>
    <w:rsid w:val="005F7148"/>
    <w:rsid w:val="006000A0"/>
    <w:rsid w:val="00600B57"/>
    <w:rsid w:val="00607AC0"/>
    <w:rsid w:val="006100DE"/>
    <w:rsid w:val="00611919"/>
    <w:rsid w:val="00613755"/>
    <w:rsid w:val="00614939"/>
    <w:rsid w:val="00615E4E"/>
    <w:rsid w:val="00616299"/>
    <w:rsid w:val="006162E2"/>
    <w:rsid w:val="0061658E"/>
    <w:rsid w:val="006175EA"/>
    <w:rsid w:val="0061773A"/>
    <w:rsid w:val="00617A6F"/>
    <w:rsid w:val="006230F6"/>
    <w:rsid w:val="006248CE"/>
    <w:rsid w:val="00624A59"/>
    <w:rsid w:val="0062651F"/>
    <w:rsid w:val="006266FD"/>
    <w:rsid w:val="00626C8E"/>
    <w:rsid w:val="00626D05"/>
    <w:rsid w:val="00627FF7"/>
    <w:rsid w:val="006316EC"/>
    <w:rsid w:val="00631737"/>
    <w:rsid w:val="00632C47"/>
    <w:rsid w:val="006416A6"/>
    <w:rsid w:val="00642100"/>
    <w:rsid w:val="00642937"/>
    <w:rsid w:val="0064385C"/>
    <w:rsid w:val="00643CEC"/>
    <w:rsid w:val="0064471B"/>
    <w:rsid w:val="00645517"/>
    <w:rsid w:val="00650325"/>
    <w:rsid w:val="006516F8"/>
    <w:rsid w:val="0065345E"/>
    <w:rsid w:val="00654504"/>
    <w:rsid w:val="0065516E"/>
    <w:rsid w:val="00655396"/>
    <w:rsid w:val="006568F2"/>
    <w:rsid w:val="006571A4"/>
    <w:rsid w:val="00657AA1"/>
    <w:rsid w:val="00657F43"/>
    <w:rsid w:val="00662A62"/>
    <w:rsid w:val="00662FCF"/>
    <w:rsid w:val="0066375B"/>
    <w:rsid w:val="00663B18"/>
    <w:rsid w:val="00663F86"/>
    <w:rsid w:val="00665754"/>
    <w:rsid w:val="00672A4C"/>
    <w:rsid w:val="0068436B"/>
    <w:rsid w:val="006859D3"/>
    <w:rsid w:val="006878D0"/>
    <w:rsid w:val="0069021F"/>
    <w:rsid w:val="00690299"/>
    <w:rsid w:val="00690AB0"/>
    <w:rsid w:val="006935EB"/>
    <w:rsid w:val="00694EE2"/>
    <w:rsid w:val="0069614D"/>
    <w:rsid w:val="0069769A"/>
    <w:rsid w:val="00697871"/>
    <w:rsid w:val="006A2983"/>
    <w:rsid w:val="006A4808"/>
    <w:rsid w:val="006A57BF"/>
    <w:rsid w:val="006A68D5"/>
    <w:rsid w:val="006A6989"/>
    <w:rsid w:val="006B1BBC"/>
    <w:rsid w:val="006B4C36"/>
    <w:rsid w:val="006B6A67"/>
    <w:rsid w:val="006B7789"/>
    <w:rsid w:val="006C0686"/>
    <w:rsid w:val="006C171E"/>
    <w:rsid w:val="006C2CE7"/>
    <w:rsid w:val="006C4411"/>
    <w:rsid w:val="006C5E43"/>
    <w:rsid w:val="006C5FA5"/>
    <w:rsid w:val="006D11A2"/>
    <w:rsid w:val="006D43DA"/>
    <w:rsid w:val="006D4C41"/>
    <w:rsid w:val="006D554F"/>
    <w:rsid w:val="006D5556"/>
    <w:rsid w:val="006D5858"/>
    <w:rsid w:val="006D6AEB"/>
    <w:rsid w:val="006D76CD"/>
    <w:rsid w:val="006E2A2A"/>
    <w:rsid w:val="006E7B8B"/>
    <w:rsid w:val="006E7D71"/>
    <w:rsid w:val="006F0040"/>
    <w:rsid w:val="006F00FD"/>
    <w:rsid w:val="006F0380"/>
    <w:rsid w:val="006F04BF"/>
    <w:rsid w:val="006F2649"/>
    <w:rsid w:val="006F2856"/>
    <w:rsid w:val="006F29E1"/>
    <w:rsid w:val="006F66D9"/>
    <w:rsid w:val="006F6DAA"/>
    <w:rsid w:val="006F7ACB"/>
    <w:rsid w:val="00700409"/>
    <w:rsid w:val="00701704"/>
    <w:rsid w:val="00701F54"/>
    <w:rsid w:val="007021A0"/>
    <w:rsid w:val="00703455"/>
    <w:rsid w:val="007049A2"/>
    <w:rsid w:val="007051FC"/>
    <w:rsid w:val="00707474"/>
    <w:rsid w:val="0071198F"/>
    <w:rsid w:val="00713303"/>
    <w:rsid w:val="00715635"/>
    <w:rsid w:val="00715D95"/>
    <w:rsid w:val="007179AB"/>
    <w:rsid w:val="007202D5"/>
    <w:rsid w:val="007227CD"/>
    <w:rsid w:val="007252B4"/>
    <w:rsid w:val="007259A7"/>
    <w:rsid w:val="0072699D"/>
    <w:rsid w:val="00726EAF"/>
    <w:rsid w:val="00727D40"/>
    <w:rsid w:val="00730A4F"/>
    <w:rsid w:val="00730D5E"/>
    <w:rsid w:val="00731506"/>
    <w:rsid w:val="007321EA"/>
    <w:rsid w:val="00732F2F"/>
    <w:rsid w:val="00733D36"/>
    <w:rsid w:val="00737283"/>
    <w:rsid w:val="00741109"/>
    <w:rsid w:val="0074208F"/>
    <w:rsid w:val="00742152"/>
    <w:rsid w:val="00742246"/>
    <w:rsid w:val="00742BCD"/>
    <w:rsid w:val="00743312"/>
    <w:rsid w:val="00743D99"/>
    <w:rsid w:val="007446BB"/>
    <w:rsid w:val="00744D60"/>
    <w:rsid w:val="00746420"/>
    <w:rsid w:val="00747CCE"/>
    <w:rsid w:val="00750568"/>
    <w:rsid w:val="00750F21"/>
    <w:rsid w:val="007533D1"/>
    <w:rsid w:val="00754CAF"/>
    <w:rsid w:val="00755ADE"/>
    <w:rsid w:val="0075742C"/>
    <w:rsid w:val="00757FFD"/>
    <w:rsid w:val="007605B4"/>
    <w:rsid w:val="0076069A"/>
    <w:rsid w:val="0076141C"/>
    <w:rsid w:val="00761543"/>
    <w:rsid w:val="007643FE"/>
    <w:rsid w:val="0076675A"/>
    <w:rsid w:val="007669C4"/>
    <w:rsid w:val="00767686"/>
    <w:rsid w:val="00767E63"/>
    <w:rsid w:val="00771DAA"/>
    <w:rsid w:val="00772A0E"/>
    <w:rsid w:val="007734A9"/>
    <w:rsid w:val="007744DC"/>
    <w:rsid w:val="007745D7"/>
    <w:rsid w:val="00774BEB"/>
    <w:rsid w:val="00776851"/>
    <w:rsid w:val="00777F1C"/>
    <w:rsid w:val="00780320"/>
    <w:rsid w:val="00780BF6"/>
    <w:rsid w:val="0078153A"/>
    <w:rsid w:val="00782460"/>
    <w:rsid w:val="00784A0A"/>
    <w:rsid w:val="0078577B"/>
    <w:rsid w:val="007868DF"/>
    <w:rsid w:val="00786C56"/>
    <w:rsid w:val="0078765D"/>
    <w:rsid w:val="00787C08"/>
    <w:rsid w:val="00791FF7"/>
    <w:rsid w:val="00792D76"/>
    <w:rsid w:val="007939D1"/>
    <w:rsid w:val="00795086"/>
    <w:rsid w:val="007959E2"/>
    <w:rsid w:val="007968D4"/>
    <w:rsid w:val="0079726F"/>
    <w:rsid w:val="007A0BEB"/>
    <w:rsid w:val="007A105B"/>
    <w:rsid w:val="007A2888"/>
    <w:rsid w:val="007A5850"/>
    <w:rsid w:val="007A630C"/>
    <w:rsid w:val="007B0C35"/>
    <w:rsid w:val="007B0D5E"/>
    <w:rsid w:val="007B25CF"/>
    <w:rsid w:val="007B4F0F"/>
    <w:rsid w:val="007B6003"/>
    <w:rsid w:val="007B61D2"/>
    <w:rsid w:val="007B676E"/>
    <w:rsid w:val="007B7CA4"/>
    <w:rsid w:val="007B7E2C"/>
    <w:rsid w:val="007C207F"/>
    <w:rsid w:val="007C3113"/>
    <w:rsid w:val="007C4AED"/>
    <w:rsid w:val="007C52BA"/>
    <w:rsid w:val="007C5E1A"/>
    <w:rsid w:val="007D35DD"/>
    <w:rsid w:val="007D49B6"/>
    <w:rsid w:val="007D51D8"/>
    <w:rsid w:val="007D6909"/>
    <w:rsid w:val="007D6A6C"/>
    <w:rsid w:val="007D7782"/>
    <w:rsid w:val="007E05FA"/>
    <w:rsid w:val="007E3FDA"/>
    <w:rsid w:val="007F1DC9"/>
    <w:rsid w:val="007F206D"/>
    <w:rsid w:val="007F46B1"/>
    <w:rsid w:val="007F4EC4"/>
    <w:rsid w:val="007F547E"/>
    <w:rsid w:val="007F68B5"/>
    <w:rsid w:val="007F6C82"/>
    <w:rsid w:val="00801ABF"/>
    <w:rsid w:val="0080295B"/>
    <w:rsid w:val="00803233"/>
    <w:rsid w:val="008044B3"/>
    <w:rsid w:val="00805E53"/>
    <w:rsid w:val="00805FF6"/>
    <w:rsid w:val="008074A3"/>
    <w:rsid w:val="00807660"/>
    <w:rsid w:val="00807F16"/>
    <w:rsid w:val="00810853"/>
    <w:rsid w:val="008108A1"/>
    <w:rsid w:val="00810908"/>
    <w:rsid w:val="00811F28"/>
    <w:rsid w:val="00811F3E"/>
    <w:rsid w:val="008129E7"/>
    <w:rsid w:val="00813535"/>
    <w:rsid w:val="00815BC5"/>
    <w:rsid w:val="0082051B"/>
    <w:rsid w:val="00821F9C"/>
    <w:rsid w:val="00822E74"/>
    <w:rsid w:val="00823880"/>
    <w:rsid w:val="0082417E"/>
    <w:rsid w:val="00824FAA"/>
    <w:rsid w:val="00825313"/>
    <w:rsid w:val="00826D30"/>
    <w:rsid w:val="00827737"/>
    <w:rsid w:val="00830F5D"/>
    <w:rsid w:val="0083267C"/>
    <w:rsid w:val="0083270C"/>
    <w:rsid w:val="0083441F"/>
    <w:rsid w:val="00835030"/>
    <w:rsid w:val="00835529"/>
    <w:rsid w:val="00840C7D"/>
    <w:rsid w:val="00841985"/>
    <w:rsid w:val="00841EE9"/>
    <w:rsid w:val="0084205F"/>
    <w:rsid w:val="00842161"/>
    <w:rsid w:val="00842F4D"/>
    <w:rsid w:val="00843095"/>
    <w:rsid w:val="00843802"/>
    <w:rsid w:val="00843B26"/>
    <w:rsid w:val="0084464E"/>
    <w:rsid w:val="00845251"/>
    <w:rsid w:val="0084591A"/>
    <w:rsid w:val="00846000"/>
    <w:rsid w:val="008476C3"/>
    <w:rsid w:val="00847A51"/>
    <w:rsid w:val="00852971"/>
    <w:rsid w:val="00852CF9"/>
    <w:rsid w:val="00852F14"/>
    <w:rsid w:val="008666AC"/>
    <w:rsid w:val="0086734F"/>
    <w:rsid w:val="00867621"/>
    <w:rsid w:val="00867B2C"/>
    <w:rsid w:val="0087143D"/>
    <w:rsid w:val="00872027"/>
    <w:rsid w:val="00872512"/>
    <w:rsid w:val="00872728"/>
    <w:rsid w:val="00874323"/>
    <w:rsid w:val="00874656"/>
    <w:rsid w:val="00874C05"/>
    <w:rsid w:val="00874F2F"/>
    <w:rsid w:val="00881667"/>
    <w:rsid w:val="008828F5"/>
    <w:rsid w:val="0088431D"/>
    <w:rsid w:val="00884AA0"/>
    <w:rsid w:val="00885DA5"/>
    <w:rsid w:val="0089107C"/>
    <w:rsid w:val="00891D2D"/>
    <w:rsid w:val="00891F46"/>
    <w:rsid w:val="00892272"/>
    <w:rsid w:val="0089229D"/>
    <w:rsid w:val="008929B5"/>
    <w:rsid w:val="00892EF5"/>
    <w:rsid w:val="0089392F"/>
    <w:rsid w:val="008939E4"/>
    <w:rsid w:val="008945EC"/>
    <w:rsid w:val="008951A4"/>
    <w:rsid w:val="00895291"/>
    <w:rsid w:val="008967E0"/>
    <w:rsid w:val="00896E7F"/>
    <w:rsid w:val="00897515"/>
    <w:rsid w:val="00897733"/>
    <w:rsid w:val="008A2B35"/>
    <w:rsid w:val="008A4572"/>
    <w:rsid w:val="008A46DF"/>
    <w:rsid w:val="008A74F0"/>
    <w:rsid w:val="008B082E"/>
    <w:rsid w:val="008B1082"/>
    <w:rsid w:val="008B22A4"/>
    <w:rsid w:val="008B27CB"/>
    <w:rsid w:val="008B3706"/>
    <w:rsid w:val="008B4126"/>
    <w:rsid w:val="008B5880"/>
    <w:rsid w:val="008B58A1"/>
    <w:rsid w:val="008B5F1A"/>
    <w:rsid w:val="008B7436"/>
    <w:rsid w:val="008C05F8"/>
    <w:rsid w:val="008C08DC"/>
    <w:rsid w:val="008C1578"/>
    <w:rsid w:val="008C3BED"/>
    <w:rsid w:val="008C76F9"/>
    <w:rsid w:val="008C7C51"/>
    <w:rsid w:val="008C7E92"/>
    <w:rsid w:val="008D008F"/>
    <w:rsid w:val="008D0133"/>
    <w:rsid w:val="008D4F5F"/>
    <w:rsid w:val="008D6ED8"/>
    <w:rsid w:val="008D7158"/>
    <w:rsid w:val="008D7200"/>
    <w:rsid w:val="008D754B"/>
    <w:rsid w:val="008E0F5A"/>
    <w:rsid w:val="008E1B1E"/>
    <w:rsid w:val="008E2669"/>
    <w:rsid w:val="008E2C58"/>
    <w:rsid w:val="008E702B"/>
    <w:rsid w:val="008F13B4"/>
    <w:rsid w:val="008F2815"/>
    <w:rsid w:val="008F2AE2"/>
    <w:rsid w:val="008F42C0"/>
    <w:rsid w:val="008F52CD"/>
    <w:rsid w:val="008F58BD"/>
    <w:rsid w:val="008F756D"/>
    <w:rsid w:val="00900A30"/>
    <w:rsid w:val="00906582"/>
    <w:rsid w:val="00906A4F"/>
    <w:rsid w:val="009118AC"/>
    <w:rsid w:val="009121E2"/>
    <w:rsid w:val="0091266E"/>
    <w:rsid w:val="00913415"/>
    <w:rsid w:val="0091381B"/>
    <w:rsid w:val="00914099"/>
    <w:rsid w:val="00914BBA"/>
    <w:rsid w:val="00914F89"/>
    <w:rsid w:val="0091631C"/>
    <w:rsid w:val="0091692C"/>
    <w:rsid w:val="0091700F"/>
    <w:rsid w:val="00920CBB"/>
    <w:rsid w:val="00923CBE"/>
    <w:rsid w:val="00924510"/>
    <w:rsid w:val="009249A8"/>
    <w:rsid w:val="00925479"/>
    <w:rsid w:val="009258FE"/>
    <w:rsid w:val="00926EE3"/>
    <w:rsid w:val="009274BA"/>
    <w:rsid w:val="00930B58"/>
    <w:rsid w:val="009311E6"/>
    <w:rsid w:val="009328A2"/>
    <w:rsid w:val="0093484E"/>
    <w:rsid w:val="00934976"/>
    <w:rsid w:val="009359F0"/>
    <w:rsid w:val="00936234"/>
    <w:rsid w:val="0094137A"/>
    <w:rsid w:val="00941E4F"/>
    <w:rsid w:val="00942120"/>
    <w:rsid w:val="00942131"/>
    <w:rsid w:val="0094272A"/>
    <w:rsid w:val="009430D9"/>
    <w:rsid w:val="009442E4"/>
    <w:rsid w:val="0094525D"/>
    <w:rsid w:val="009456FD"/>
    <w:rsid w:val="00945B86"/>
    <w:rsid w:val="0094606C"/>
    <w:rsid w:val="00946833"/>
    <w:rsid w:val="00947930"/>
    <w:rsid w:val="00952091"/>
    <w:rsid w:val="0095525B"/>
    <w:rsid w:val="00955C14"/>
    <w:rsid w:val="00955E00"/>
    <w:rsid w:val="00956543"/>
    <w:rsid w:val="00956F97"/>
    <w:rsid w:val="00957275"/>
    <w:rsid w:val="00957C11"/>
    <w:rsid w:val="00957D47"/>
    <w:rsid w:val="009601B4"/>
    <w:rsid w:val="00962123"/>
    <w:rsid w:val="00962A6D"/>
    <w:rsid w:val="00964976"/>
    <w:rsid w:val="009651DA"/>
    <w:rsid w:val="0096757E"/>
    <w:rsid w:val="009709F8"/>
    <w:rsid w:val="00970CDB"/>
    <w:rsid w:val="0097120F"/>
    <w:rsid w:val="0097211C"/>
    <w:rsid w:val="00972329"/>
    <w:rsid w:val="00973F50"/>
    <w:rsid w:val="00974790"/>
    <w:rsid w:val="00974F08"/>
    <w:rsid w:val="0097615D"/>
    <w:rsid w:val="00976FC0"/>
    <w:rsid w:val="00986A72"/>
    <w:rsid w:val="00986F56"/>
    <w:rsid w:val="00990073"/>
    <w:rsid w:val="0099049D"/>
    <w:rsid w:val="00991469"/>
    <w:rsid w:val="00992142"/>
    <w:rsid w:val="00994DE2"/>
    <w:rsid w:val="00995CBC"/>
    <w:rsid w:val="009965B5"/>
    <w:rsid w:val="009A022C"/>
    <w:rsid w:val="009A06EB"/>
    <w:rsid w:val="009A1D9F"/>
    <w:rsid w:val="009A27E8"/>
    <w:rsid w:val="009A3283"/>
    <w:rsid w:val="009A37EF"/>
    <w:rsid w:val="009A3EB2"/>
    <w:rsid w:val="009A4C82"/>
    <w:rsid w:val="009A52C2"/>
    <w:rsid w:val="009A6D10"/>
    <w:rsid w:val="009A77CB"/>
    <w:rsid w:val="009A79DB"/>
    <w:rsid w:val="009A7C7A"/>
    <w:rsid w:val="009B0430"/>
    <w:rsid w:val="009B3D41"/>
    <w:rsid w:val="009B3DD4"/>
    <w:rsid w:val="009B49EA"/>
    <w:rsid w:val="009B5943"/>
    <w:rsid w:val="009B6DC2"/>
    <w:rsid w:val="009B708E"/>
    <w:rsid w:val="009C061F"/>
    <w:rsid w:val="009C07C1"/>
    <w:rsid w:val="009C08EA"/>
    <w:rsid w:val="009C1077"/>
    <w:rsid w:val="009C1094"/>
    <w:rsid w:val="009C4439"/>
    <w:rsid w:val="009C580D"/>
    <w:rsid w:val="009C7C5B"/>
    <w:rsid w:val="009D13A9"/>
    <w:rsid w:val="009D21CA"/>
    <w:rsid w:val="009D22EE"/>
    <w:rsid w:val="009D4349"/>
    <w:rsid w:val="009D5632"/>
    <w:rsid w:val="009D7A58"/>
    <w:rsid w:val="009E0C2D"/>
    <w:rsid w:val="009E0EED"/>
    <w:rsid w:val="009E24C6"/>
    <w:rsid w:val="009E2939"/>
    <w:rsid w:val="009E2CC2"/>
    <w:rsid w:val="009E4F46"/>
    <w:rsid w:val="009E5945"/>
    <w:rsid w:val="009E6779"/>
    <w:rsid w:val="009E76F4"/>
    <w:rsid w:val="009F0C9D"/>
    <w:rsid w:val="009F0FFF"/>
    <w:rsid w:val="009F1641"/>
    <w:rsid w:val="009F20F3"/>
    <w:rsid w:val="009F2501"/>
    <w:rsid w:val="009F3416"/>
    <w:rsid w:val="009F36BD"/>
    <w:rsid w:val="009F5A3C"/>
    <w:rsid w:val="009F7B3F"/>
    <w:rsid w:val="00A0000F"/>
    <w:rsid w:val="00A00387"/>
    <w:rsid w:val="00A03053"/>
    <w:rsid w:val="00A03164"/>
    <w:rsid w:val="00A03B1E"/>
    <w:rsid w:val="00A03D03"/>
    <w:rsid w:val="00A046DC"/>
    <w:rsid w:val="00A070AE"/>
    <w:rsid w:val="00A07C24"/>
    <w:rsid w:val="00A12294"/>
    <w:rsid w:val="00A12E74"/>
    <w:rsid w:val="00A13471"/>
    <w:rsid w:val="00A147F3"/>
    <w:rsid w:val="00A16078"/>
    <w:rsid w:val="00A16562"/>
    <w:rsid w:val="00A20AED"/>
    <w:rsid w:val="00A20F3B"/>
    <w:rsid w:val="00A2220E"/>
    <w:rsid w:val="00A232C4"/>
    <w:rsid w:val="00A24A73"/>
    <w:rsid w:val="00A2553C"/>
    <w:rsid w:val="00A255FA"/>
    <w:rsid w:val="00A26B00"/>
    <w:rsid w:val="00A27B99"/>
    <w:rsid w:val="00A27F51"/>
    <w:rsid w:val="00A32DCA"/>
    <w:rsid w:val="00A357D8"/>
    <w:rsid w:val="00A363DD"/>
    <w:rsid w:val="00A368B9"/>
    <w:rsid w:val="00A369A9"/>
    <w:rsid w:val="00A376DD"/>
    <w:rsid w:val="00A4089E"/>
    <w:rsid w:val="00A40B6C"/>
    <w:rsid w:val="00A421FB"/>
    <w:rsid w:val="00A4371D"/>
    <w:rsid w:val="00A43D72"/>
    <w:rsid w:val="00A441B8"/>
    <w:rsid w:val="00A45C3B"/>
    <w:rsid w:val="00A463A7"/>
    <w:rsid w:val="00A47C63"/>
    <w:rsid w:val="00A50DF5"/>
    <w:rsid w:val="00A50EF2"/>
    <w:rsid w:val="00A51A15"/>
    <w:rsid w:val="00A52772"/>
    <w:rsid w:val="00A57775"/>
    <w:rsid w:val="00A61493"/>
    <w:rsid w:val="00A6421C"/>
    <w:rsid w:val="00A66AB5"/>
    <w:rsid w:val="00A703D2"/>
    <w:rsid w:val="00A71D2A"/>
    <w:rsid w:val="00A720E9"/>
    <w:rsid w:val="00A742AF"/>
    <w:rsid w:val="00A742F9"/>
    <w:rsid w:val="00A7670A"/>
    <w:rsid w:val="00A85D6D"/>
    <w:rsid w:val="00A8791A"/>
    <w:rsid w:val="00A9159A"/>
    <w:rsid w:val="00A9251C"/>
    <w:rsid w:val="00A93423"/>
    <w:rsid w:val="00A93624"/>
    <w:rsid w:val="00A9389A"/>
    <w:rsid w:val="00A95777"/>
    <w:rsid w:val="00A96489"/>
    <w:rsid w:val="00A97361"/>
    <w:rsid w:val="00AA07C9"/>
    <w:rsid w:val="00AA1648"/>
    <w:rsid w:val="00AA1849"/>
    <w:rsid w:val="00AA239A"/>
    <w:rsid w:val="00AA3106"/>
    <w:rsid w:val="00AA3734"/>
    <w:rsid w:val="00AA3F30"/>
    <w:rsid w:val="00AA48FD"/>
    <w:rsid w:val="00AA6D00"/>
    <w:rsid w:val="00AA7482"/>
    <w:rsid w:val="00AB0476"/>
    <w:rsid w:val="00AB1D58"/>
    <w:rsid w:val="00AB2133"/>
    <w:rsid w:val="00AB5226"/>
    <w:rsid w:val="00AB52B4"/>
    <w:rsid w:val="00AB535F"/>
    <w:rsid w:val="00AB5538"/>
    <w:rsid w:val="00AB5D88"/>
    <w:rsid w:val="00AB7799"/>
    <w:rsid w:val="00AB7B90"/>
    <w:rsid w:val="00AB7CF2"/>
    <w:rsid w:val="00AC0C79"/>
    <w:rsid w:val="00AC126A"/>
    <w:rsid w:val="00AC28BA"/>
    <w:rsid w:val="00AC2DAD"/>
    <w:rsid w:val="00AC3639"/>
    <w:rsid w:val="00AC4087"/>
    <w:rsid w:val="00AC43A6"/>
    <w:rsid w:val="00AC49EF"/>
    <w:rsid w:val="00AC6189"/>
    <w:rsid w:val="00AC7AC2"/>
    <w:rsid w:val="00AD08E8"/>
    <w:rsid w:val="00AD0C1B"/>
    <w:rsid w:val="00AD0CDF"/>
    <w:rsid w:val="00AD1B58"/>
    <w:rsid w:val="00AD285F"/>
    <w:rsid w:val="00AD56DA"/>
    <w:rsid w:val="00AD57E2"/>
    <w:rsid w:val="00AD6442"/>
    <w:rsid w:val="00AD7960"/>
    <w:rsid w:val="00AE124C"/>
    <w:rsid w:val="00AE4D5E"/>
    <w:rsid w:val="00AE618D"/>
    <w:rsid w:val="00AE620C"/>
    <w:rsid w:val="00AE6797"/>
    <w:rsid w:val="00AE6AB5"/>
    <w:rsid w:val="00AE7543"/>
    <w:rsid w:val="00AE7629"/>
    <w:rsid w:val="00AF59CE"/>
    <w:rsid w:val="00AF7A32"/>
    <w:rsid w:val="00B0028F"/>
    <w:rsid w:val="00B00D8F"/>
    <w:rsid w:val="00B02CB4"/>
    <w:rsid w:val="00B0631B"/>
    <w:rsid w:val="00B0639E"/>
    <w:rsid w:val="00B10B39"/>
    <w:rsid w:val="00B12201"/>
    <w:rsid w:val="00B1267E"/>
    <w:rsid w:val="00B12D5A"/>
    <w:rsid w:val="00B12E47"/>
    <w:rsid w:val="00B135DB"/>
    <w:rsid w:val="00B13A8C"/>
    <w:rsid w:val="00B14BB0"/>
    <w:rsid w:val="00B15716"/>
    <w:rsid w:val="00B16BED"/>
    <w:rsid w:val="00B177E8"/>
    <w:rsid w:val="00B207B5"/>
    <w:rsid w:val="00B21059"/>
    <w:rsid w:val="00B213B6"/>
    <w:rsid w:val="00B23C1B"/>
    <w:rsid w:val="00B25812"/>
    <w:rsid w:val="00B27AB8"/>
    <w:rsid w:val="00B31537"/>
    <w:rsid w:val="00B3327F"/>
    <w:rsid w:val="00B34641"/>
    <w:rsid w:val="00B34B32"/>
    <w:rsid w:val="00B35375"/>
    <w:rsid w:val="00B36C79"/>
    <w:rsid w:val="00B43900"/>
    <w:rsid w:val="00B4689C"/>
    <w:rsid w:val="00B47C2A"/>
    <w:rsid w:val="00B50675"/>
    <w:rsid w:val="00B52215"/>
    <w:rsid w:val="00B540DD"/>
    <w:rsid w:val="00B55245"/>
    <w:rsid w:val="00B5636B"/>
    <w:rsid w:val="00B57478"/>
    <w:rsid w:val="00B63EFB"/>
    <w:rsid w:val="00B64792"/>
    <w:rsid w:val="00B64D2C"/>
    <w:rsid w:val="00B653F8"/>
    <w:rsid w:val="00B66416"/>
    <w:rsid w:val="00B67FE2"/>
    <w:rsid w:val="00B7047C"/>
    <w:rsid w:val="00B7140E"/>
    <w:rsid w:val="00B71F05"/>
    <w:rsid w:val="00B72F13"/>
    <w:rsid w:val="00B7321E"/>
    <w:rsid w:val="00B7371E"/>
    <w:rsid w:val="00B751AE"/>
    <w:rsid w:val="00B759E8"/>
    <w:rsid w:val="00B75CAC"/>
    <w:rsid w:val="00B76E66"/>
    <w:rsid w:val="00B7779A"/>
    <w:rsid w:val="00B80505"/>
    <w:rsid w:val="00B820CB"/>
    <w:rsid w:val="00B86261"/>
    <w:rsid w:val="00B90686"/>
    <w:rsid w:val="00B9094E"/>
    <w:rsid w:val="00B91AB3"/>
    <w:rsid w:val="00B937C0"/>
    <w:rsid w:val="00B94420"/>
    <w:rsid w:val="00B94AAD"/>
    <w:rsid w:val="00B95947"/>
    <w:rsid w:val="00B968F5"/>
    <w:rsid w:val="00B96B4D"/>
    <w:rsid w:val="00B96DC9"/>
    <w:rsid w:val="00B97E62"/>
    <w:rsid w:val="00BA0C8A"/>
    <w:rsid w:val="00BA186D"/>
    <w:rsid w:val="00BA268B"/>
    <w:rsid w:val="00BA6374"/>
    <w:rsid w:val="00BB454A"/>
    <w:rsid w:val="00BB458F"/>
    <w:rsid w:val="00BB4A25"/>
    <w:rsid w:val="00BB517C"/>
    <w:rsid w:val="00BC14C8"/>
    <w:rsid w:val="00BC1638"/>
    <w:rsid w:val="00BC3079"/>
    <w:rsid w:val="00BC30C2"/>
    <w:rsid w:val="00BC31F9"/>
    <w:rsid w:val="00BC3478"/>
    <w:rsid w:val="00BC492F"/>
    <w:rsid w:val="00BC5373"/>
    <w:rsid w:val="00BC5E2A"/>
    <w:rsid w:val="00BC70E6"/>
    <w:rsid w:val="00BC7423"/>
    <w:rsid w:val="00BC769D"/>
    <w:rsid w:val="00BD1FB2"/>
    <w:rsid w:val="00BD22C2"/>
    <w:rsid w:val="00BD2FF6"/>
    <w:rsid w:val="00BD4483"/>
    <w:rsid w:val="00BD4A19"/>
    <w:rsid w:val="00BD4F9B"/>
    <w:rsid w:val="00BD57E9"/>
    <w:rsid w:val="00BD62E8"/>
    <w:rsid w:val="00BD756E"/>
    <w:rsid w:val="00BE06F5"/>
    <w:rsid w:val="00BE0906"/>
    <w:rsid w:val="00BE0D24"/>
    <w:rsid w:val="00BE1BAE"/>
    <w:rsid w:val="00BE3CA7"/>
    <w:rsid w:val="00BE4395"/>
    <w:rsid w:val="00BE541D"/>
    <w:rsid w:val="00BE5E6A"/>
    <w:rsid w:val="00BE794E"/>
    <w:rsid w:val="00BF0747"/>
    <w:rsid w:val="00BF09AA"/>
    <w:rsid w:val="00BF1620"/>
    <w:rsid w:val="00BF2AFD"/>
    <w:rsid w:val="00BF3378"/>
    <w:rsid w:val="00BF34C2"/>
    <w:rsid w:val="00BF3583"/>
    <w:rsid w:val="00BF6CF3"/>
    <w:rsid w:val="00C005E2"/>
    <w:rsid w:val="00C00FAF"/>
    <w:rsid w:val="00C012A6"/>
    <w:rsid w:val="00C01717"/>
    <w:rsid w:val="00C022D7"/>
    <w:rsid w:val="00C03F04"/>
    <w:rsid w:val="00C0451A"/>
    <w:rsid w:val="00C04800"/>
    <w:rsid w:val="00C04C8E"/>
    <w:rsid w:val="00C056CA"/>
    <w:rsid w:val="00C058C4"/>
    <w:rsid w:val="00C05DB7"/>
    <w:rsid w:val="00C06BBA"/>
    <w:rsid w:val="00C1064B"/>
    <w:rsid w:val="00C109F4"/>
    <w:rsid w:val="00C1360B"/>
    <w:rsid w:val="00C1725F"/>
    <w:rsid w:val="00C179F0"/>
    <w:rsid w:val="00C213BD"/>
    <w:rsid w:val="00C224E3"/>
    <w:rsid w:val="00C22AC2"/>
    <w:rsid w:val="00C22CB5"/>
    <w:rsid w:val="00C23488"/>
    <w:rsid w:val="00C269A7"/>
    <w:rsid w:val="00C26C4D"/>
    <w:rsid w:val="00C2709E"/>
    <w:rsid w:val="00C27E49"/>
    <w:rsid w:val="00C32F13"/>
    <w:rsid w:val="00C34577"/>
    <w:rsid w:val="00C3498B"/>
    <w:rsid w:val="00C34D31"/>
    <w:rsid w:val="00C35889"/>
    <w:rsid w:val="00C35B0F"/>
    <w:rsid w:val="00C362B6"/>
    <w:rsid w:val="00C367F7"/>
    <w:rsid w:val="00C37427"/>
    <w:rsid w:val="00C40FA8"/>
    <w:rsid w:val="00C41EE4"/>
    <w:rsid w:val="00C43F59"/>
    <w:rsid w:val="00C440D0"/>
    <w:rsid w:val="00C442EA"/>
    <w:rsid w:val="00C44303"/>
    <w:rsid w:val="00C445D2"/>
    <w:rsid w:val="00C45C7D"/>
    <w:rsid w:val="00C47124"/>
    <w:rsid w:val="00C509B8"/>
    <w:rsid w:val="00C51257"/>
    <w:rsid w:val="00C524DB"/>
    <w:rsid w:val="00C52A3F"/>
    <w:rsid w:val="00C52E96"/>
    <w:rsid w:val="00C55B80"/>
    <w:rsid w:val="00C5691A"/>
    <w:rsid w:val="00C57BF7"/>
    <w:rsid w:val="00C6005F"/>
    <w:rsid w:val="00C60396"/>
    <w:rsid w:val="00C605AF"/>
    <w:rsid w:val="00C60D1E"/>
    <w:rsid w:val="00C60EA4"/>
    <w:rsid w:val="00C621F3"/>
    <w:rsid w:val="00C63E03"/>
    <w:rsid w:val="00C63EEE"/>
    <w:rsid w:val="00C64D1B"/>
    <w:rsid w:val="00C669E8"/>
    <w:rsid w:val="00C66E24"/>
    <w:rsid w:val="00C67FF0"/>
    <w:rsid w:val="00C72D20"/>
    <w:rsid w:val="00C745B2"/>
    <w:rsid w:val="00C74C9A"/>
    <w:rsid w:val="00C74E1A"/>
    <w:rsid w:val="00C75C3E"/>
    <w:rsid w:val="00C765F4"/>
    <w:rsid w:val="00C76E2E"/>
    <w:rsid w:val="00C80C02"/>
    <w:rsid w:val="00C810D5"/>
    <w:rsid w:val="00C81505"/>
    <w:rsid w:val="00C821AE"/>
    <w:rsid w:val="00C82507"/>
    <w:rsid w:val="00C85217"/>
    <w:rsid w:val="00C8543C"/>
    <w:rsid w:val="00C86352"/>
    <w:rsid w:val="00C863C9"/>
    <w:rsid w:val="00C87D3E"/>
    <w:rsid w:val="00C905E8"/>
    <w:rsid w:val="00C90E68"/>
    <w:rsid w:val="00C932D0"/>
    <w:rsid w:val="00C96BD6"/>
    <w:rsid w:val="00C96D95"/>
    <w:rsid w:val="00C97262"/>
    <w:rsid w:val="00C976F0"/>
    <w:rsid w:val="00C9779B"/>
    <w:rsid w:val="00CA1939"/>
    <w:rsid w:val="00CA2B3C"/>
    <w:rsid w:val="00CA2E98"/>
    <w:rsid w:val="00CA4433"/>
    <w:rsid w:val="00CA4B04"/>
    <w:rsid w:val="00CA5706"/>
    <w:rsid w:val="00CA58B9"/>
    <w:rsid w:val="00CA5FD9"/>
    <w:rsid w:val="00CA63FB"/>
    <w:rsid w:val="00CA653C"/>
    <w:rsid w:val="00CA741B"/>
    <w:rsid w:val="00CA74AB"/>
    <w:rsid w:val="00CA78F6"/>
    <w:rsid w:val="00CB1592"/>
    <w:rsid w:val="00CB2B37"/>
    <w:rsid w:val="00CB2F4B"/>
    <w:rsid w:val="00CB36A6"/>
    <w:rsid w:val="00CB529C"/>
    <w:rsid w:val="00CB6613"/>
    <w:rsid w:val="00CC2464"/>
    <w:rsid w:val="00CC2DDB"/>
    <w:rsid w:val="00CC4A16"/>
    <w:rsid w:val="00CC4C26"/>
    <w:rsid w:val="00CC4DAA"/>
    <w:rsid w:val="00CC51B9"/>
    <w:rsid w:val="00CC66CE"/>
    <w:rsid w:val="00CC7C4B"/>
    <w:rsid w:val="00CD0F3E"/>
    <w:rsid w:val="00CD0F78"/>
    <w:rsid w:val="00CD30DD"/>
    <w:rsid w:val="00CD3770"/>
    <w:rsid w:val="00CD45C6"/>
    <w:rsid w:val="00CD47F3"/>
    <w:rsid w:val="00CD7105"/>
    <w:rsid w:val="00CD7E81"/>
    <w:rsid w:val="00CD7E8E"/>
    <w:rsid w:val="00CE04F8"/>
    <w:rsid w:val="00CE11FE"/>
    <w:rsid w:val="00CE14BA"/>
    <w:rsid w:val="00CE309B"/>
    <w:rsid w:val="00CE3348"/>
    <w:rsid w:val="00CE3EED"/>
    <w:rsid w:val="00CE3F4D"/>
    <w:rsid w:val="00CF07CA"/>
    <w:rsid w:val="00CF0A6C"/>
    <w:rsid w:val="00CF2A72"/>
    <w:rsid w:val="00CF4174"/>
    <w:rsid w:val="00CF4937"/>
    <w:rsid w:val="00CF51BC"/>
    <w:rsid w:val="00CF52F4"/>
    <w:rsid w:val="00CF710C"/>
    <w:rsid w:val="00CF7826"/>
    <w:rsid w:val="00CF7CF0"/>
    <w:rsid w:val="00D00D6C"/>
    <w:rsid w:val="00D01F34"/>
    <w:rsid w:val="00D03CCF"/>
    <w:rsid w:val="00D05380"/>
    <w:rsid w:val="00D05AE3"/>
    <w:rsid w:val="00D065A8"/>
    <w:rsid w:val="00D066B3"/>
    <w:rsid w:val="00D06A85"/>
    <w:rsid w:val="00D11A49"/>
    <w:rsid w:val="00D123F8"/>
    <w:rsid w:val="00D12A64"/>
    <w:rsid w:val="00D13BB9"/>
    <w:rsid w:val="00D14E4A"/>
    <w:rsid w:val="00D16E6F"/>
    <w:rsid w:val="00D1715D"/>
    <w:rsid w:val="00D1757D"/>
    <w:rsid w:val="00D179C3"/>
    <w:rsid w:val="00D201E3"/>
    <w:rsid w:val="00D210AE"/>
    <w:rsid w:val="00D21475"/>
    <w:rsid w:val="00D21D8A"/>
    <w:rsid w:val="00D22DB5"/>
    <w:rsid w:val="00D23757"/>
    <w:rsid w:val="00D250E5"/>
    <w:rsid w:val="00D31091"/>
    <w:rsid w:val="00D33819"/>
    <w:rsid w:val="00D37319"/>
    <w:rsid w:val="00D37826"/>
    <w:rsid w:val="00D4133E"/>
    <w:rsid w:val="00D413DF"/>
    <w:rsid w:val="00D42D6B"/>
    <w:rsid w:val="00D45895"/>
    <w:rsid w:val="00D468B3"/>
    <w:rsid w:val="00D46EC8"/>
    <w:rsid w:val="00D5032C"/>
    <w:rsid w:val="00D514F8"/>
    <w:rsid w:val="00D5350A"/>
    <w:rsid w:val="00D5373F"/>
    <w:rsid w:val="00D53932"/>
    <w:rsid w:val="00D54221"/>
    <w:rsid w:val="00D546F4"/>
    <w:rsid w:val="00D55153"/>
    <w:rsid w:val="00D551DF"/>
    <w:rsid w:val="00D55AC3"/>
    <w:rsid w:val="00D560E9"/>
    <w:rsid w:val="00D56DB2"/>
    <w:rsid w:val="00D573D5"/>
    <w:rsid w:val="00D576D6"/>
    <w:rsid w:val="00D5773B"/>
    <w:rsid w:val="00D619B7"/>
    <w:rsid w:val="00D61C89"/>
    <w:rsid w:val="00D622B6"/>
    <w:rsid w:val="00D62D78"/>
    <w:rsid w:val="00D637DA"/>
    <w:rsid w:val="00D65576"/>
    <w:rsid w:val="00D66655"/>
    <w:rsid w:val="00D6723E"/>
    <w:rsid w:val="00D7059D"/>
    <w:rsid w:val="00D70725"/>
    <w:rsid w:val="00D71EFF"/>
    <w:rsid w:val="00D72B1E"/>
    <w:rsid w:val="00D734FA"/>
    <w:rsid w:val="00D7464E"/>
    <w:rsid w:val="00D758ED"/>
    <w:rsid w:val="00D76503"/>
    <w:rsid w:val="00D76B0B"/>
    <w:rsid w:val="00D770B9"/>
    <w:rsid w:val="00D7763E"/>
    <w:rsid w:val="00D80272"/>
    <w:rsid w:val="00D810C9"/>
    <w:rsid w:val="00D82CF3"/>
    <w:rsid w:val="00D8477E"/>
    <w:rsid w:val="00D84C00"/>
    <w:rsid w:val="00D8659B"/>
    <w:rsid w:val="00D86985"/>
    <w:rsid w:val="00D86C9C"/>
    <w:rsid w:val="00D86FFC"/>
    <w:rsid w:val="00D90B33"/>
    <w:rsid w:val="00D9261D"/>
    <w:rsid w:val="00D9466D"/>
    <w:rsid w:val="00D94A3F"/>
    <w:rsid w:val="00D94C1C"/>
    <w:rsid w:val="00D95BFE"/>
    <w:rsid w:val="00DA1899"/>
    <w:rsid w:val="00DA6469"/>
    <w:rsid w:val="00DA70B6"/>
    <w:rsid w:val="00DB0667"/>
    <w:rsid w:val="00DB1FEF"/>
    <w:rsid w:val="00DB309B"/>
    <w:rsid w:val="00DB6093"/>
    <w:rsid w:val="00DC0FC3"/>
    <w:rsid w:val="00DC1D15"/>
    <w:rsid w:val="00DC2052"/>
    <w:rsid w:val="00DC22C9"/>
    <w:rsid w:val="00DC267B"/>
    <w:rsid w:val="00DC2B9F"/>
    <w:rsid w:val="00DC4758"/>
    <w:rsid w:val="00DC596B"/>
    <w:rsid w:val="00DD2E99"/>
    <w:rsid w:val="00DD5521"/>
    <w:rsid w:val="00DD78DE"/>
    <w:rsid w:val="00DE1BDF"/>
    <w:rsid w:val="00DF1055"/>
    <w:rsid w:val="00DF17FE"/>
    <w:rsid w:val="00DF2F2C"/>
    <w:rsid w:val="00DF6312"/>
    <w:rsid w:val="00DF6767"/>
    <w:rsid w:val="00DF78FC"/>
    <w:rsid w:val="00E00493"/>
    <w:rsid w:val="00E00BF2"/>
    <w:rsid w:val="00E01AA5"/>
    <w:rsid w:val="00E01CB5"/>
    <w:rsid w:val="00E043A5"/>
    <w:rsid w:val="00E04A8B"/>
    <w:rsid w:val="00E06127"/>
    <w:rsid w:val="00E071A9"/>
    <w:rsid w:val="00E079AC"/>
    <w:rsid w:val="00E10279"/>
    <w:rsid w:val="00E1027E"/>
    <w:rsid w:val="00E1058E"/>
    <w:rsid w:val="00E12371"/>
    <w:rsid w:val="00E12699"/>
    <w:rsid w:val="00E1290B"/>
    <w:rsid w:val="00E15FC5"/>
    <w:rsid w:val="00E1676A"/>
    <w:rsid w:val="00E17541"/>
    <w:rsid w:val="00E17609"/>
    <w:rsid w:val="00E176BE"/>
    <w:rsid w:val="00E20026"/>
    <w:rsid w:val="00E2060C"/>
    <w:rsid w:val="00E21371"/>
    <w:rsid w:val="00E21665"/>
    <w:rsid w:val="00E23150"/>
    <w:rsid w:val="00E2379E"/>
    <w:rsid w:val="00E2455D"/>
    <w:rsid w:val="00E24D54"/>
    <w:rsid w:val="00E24EB8"/>
    <w:rsid w:val="00E25CCB"/>
    <w:rsid w:val="00E25E7D"/>
    <w:rsid w:val="00E26F3F"/>
    <w:rsid w:val="00E27763"/>
    <w:rsid w:val="00E27B36"/>
    <w:rsid w:val="00E31922"/>
    <w:rsid w:val="00E33C88"/>
    <w:rsid w:val="00E341CB"/>
    <w:rsid w:val="00E3501D"/>
    <w:rsid w:val="00E352B7"/>
    <w:rsid w:val="00E358FB"/>
    <w:rsid w:val="00E379B6"/>
    <w:rsid w:val="00E406F5"/>
    <w:rsid w:val="00E41AA0"/>
    <w:rsid w:val="00E41F40"/>
    <w:rsid w:val="00E429CA"/>
    <w:rsid w:val="00E42AE9"/>
    <w:rsid w:val="00E4321F"/>
    <w:rsid w:val="00E44177"/>
    <w:rsid w:val="00E51FB7"/>
    <w:rsid w:val="00E523E3"/>
    <w:rsid w:val="00E527EE"/>
    <w:rsid w:val="00E52CF6"/>
    <w:rsid w:val="00E52D18"/>
    <w:rsid w:val="00E53B30"/>
    <w:rsid w:val="00E54216"/>
    <w:rsid w:val="00E551DE"/>
    <w:rsid w:val="00E55545"/>
    <w:rsid w:val="00E55739"/>
    <w:rsid w:val="00E6139C"/>
    <w:rsid w:val="00E62032"/>
    <w:rsid w:val="00E6204D"/>
    <w:rsid w:val="00E626C4"/>
    <w:rsid w:val="00E63833"/>
    <w:rsid w:val="00E66506"/>
    <w:rsid w:val="00E67667"/>
    <w:rsid w:val="00E718A2"/>
    <w:rsid w:val="00E71B36"/>
    <w:rsid w:val="00E723D3"/>
    <w:rsid w:val="00E73153"/>
    <w:rsid w:val="00E76CFF"/>
    <w:rsid w:val="00E77865"/>
    <w:rsid w:val="00E77BC0"/>
    <w:rsid w:val="00E80B1C"/>
    <w:rsid w:val="00E820AE"/>
    <w:rsid w:val="00E829C6"/>
    <w:rsid w:val="00E8346F"/>
    <w:rsid w:val="00E83AE2"/>
    <w:rsid w:val="00E90CF0"/>
    <w:rsid w:val="00E915B0"/>
    <w:rsid w:val="00E91F71"/>
    <w:rsid w:val="00E922F4"/>
    <w:rsid w:val="00E93699"/>
    <w:rsid w:val="00E93FE7"/>
    <w:rsid w:val="00E94252"/>
    <w:rsid w:val="00E94FC7"/>
    <w:rsid w:val="00E9706D"/>
    <w:rsid w:val="00EA0156"/>
    <w:rsid w:val="00EA1521"/>
    <w:rsid w:val="00EA1FE4"/>
    <w:rsid w:val="00EA2B1B"/>
    <w:rsid w:val="00EA3227"/>
    <w:rsid w:val="00EA3EDD"/>
    <w:rsid w:val="00EA6812"/>
    <w:rsid w:val="00EB02A4"/>
    <w:rsid w:val="00EB0FD0"/>
    <w:rsid w:val="00EB1BA3"/>
    <w:rsid w:val="00EB3B4E"/>
    <w:rsid w:val="00EB45C1"/>
    <w:rsid w:val="00EB5532"/>
    <w:rsid w:val="00EB7CE1"/>
    <w:rsid w:val="00EB7F22"/>
    <w:rsid w:val="00EC08F2"/>
    <w:rsid w:val="00EC4BE8"/>
    <w:rsid w:val="00EC5858"/>
    <w:rsid w:val="00ED0A2D"/>
    <w:rsid w:val="00ED1354"/>
    <w:rsid w:val="00ED29DE"/>
    <w:rsid w:val="00ED4E58"/>
    <w:rsid w:val="00ED5042"/>
    <w:rsid w:val="00ED510C"/>
    <w:rsid w:val="00ED5977"/>
    <w:rsid w:val="00ED60BC"/>
    <w:rsid w:val="00ED755B"/>
    <w:rsid w:val="00ED7954"/>
    <w:rsid w:val="00ED799A"/>
    <w:rsid w:val="00ED7EFD"/>
    <w:rsid w:val="00EE15DF"/>
    <w:rsid w:val="00EE1E89"/>
    <w:rsid w:val="00EE262F"/>
    <w:rsid w:val="00EE3E44"/>
    <w:rsid w:val="00EE4427"/>
    <w:rsid w:val="00EE4EE9"/>
    <w:rsid w:val="00EE594D"/>
    <w:rsid w:val="00EE5CF6"/>
    <w:rsid w:val="00EE5F9B"/>
    <w:rsid w:val="00EE6334"/>
    <w:rsid w:val="00EE7349"/>
    <w:rsid w:val="00EE740F"/>
    <w:rsid w:val="00EE7D59"/>
    <w:rsid w:val="00EF0D5E"/>
    <w:rsid w:val="00EF1AA2"/>
    <w:rsid w:val="00EF3F51"/>
    <w:rsid w:val="00EF551D"/>
    <w:rsid w:val="00EF6956"/>
    <w:rsid w:val="00EF732C"/>
    <w:rsid w:val="00F009B3"/>
    <w:rsid w:val="00F01DAC"/>
    <w:rsid w:val="00F0322F"/>
    <w:rsid w:val="00F049FD"/>
    <w:rsid w:val="00F058AD"/>
    <w:rsid w:val="00F06904"/>
    <w:rsid w:val="00F10A1F"/>
    <w:rsid w:val="00F11608"/>
    <w:rsid w:val="00F124D5"/>
    <w:rsid w:val="00F12FDF"/>
    <w:rsid w:val="00F14136"/>
    <w:rsid w:val="00F166B3"/>
    <w:rsid w:val="00F16D43"/>
    <w:rsid w:val="00F17395"/>
    <w:rsid w:val="00F17A5D"/>
    <w:rsid w:val="00F206B8"/>
    <w:rsid w:val="00F210BC"/>
    <w:rsid w:val="00F2135D"/>
    <w:rsid w:val="00F215E9"/>
    <w:rsid w:val="00F229CE"/>
    <w:rsid w:val="00F24BB6"/>
    <w:rsid w:val="00F254A3"/>
    <w:rsid w:val="00F25943"/>
    <w:rsid w:val="00F306C0"/>
    <w:rsid w:val="00F30A6F"/>
    <w:rsid w:val="00F30D42"/>
    <w:rsid w:val="00F32C77"/>
    <w:rsid w:val="00F33614"/>
    <w:rsid w:val="00F33615"/>
    <w:rsid w:val="00F354E2"/>
    <w:rsid w:val="00F35720"/>
    <w:rsid w:val="00F40956"/>
    <w:rsid w:val="00F4201A"/>
    <w:rsid w:val="00F42705"/>
    <w:rsid w:val="00F42DF8"/>
    <w:rsid w:val="00F44FDD"/>
    <w:rsid w:val="00F452AB"/>
    <w:rsid w:val="00F45BA0"/>
    <w:rsid w:val="00F4643A"/>
    <w:rsid w:val="00F4673B"/>
    <w:rsid w:val="00F50A8E"/>
    <w:rsid w:val="00F51DA9"/>
    <w:rsid w:val="00F52E18"/>
    <w:rsid w:val="00F53CED"/>
    <w:rsid w:val="00F53D0B"/>
    <w:rsid w:val="00F5683C"/>
    <w:rsid w:val="00F57EF5"/>
    <w:rsid w:val="00F603EA"/>
    <w:rsid w:val="00F6158A"/>
    <w:rsid w:val="00F66BA3"/>
    <w:rsid w:val="00F6728B"/>
    <w:rsid w:val="00F70CC7"/>
    <w:rsid w:val="00F71B77"/>
    <w:rsid w:val="00F71D77"/>
    <w:rsid w:val="00F7546F"/>
    <w:rsid w:val="00F75759"/>
    <w:rsid w:val="00F806DB"/>
    <w:rsid w:val="00F80DCD"/>
    <w:rsid w:val="00F81FEC"/>
    <w:rsid w:val="00F83A54"/>
    <w:rsid w:val="00F8609A"/>
    <w:rsid w:val="00F86B93"/>
    <w:rsid w:val="00F9137E"/>
    <w:rsid w:val="00F93FC9"/>
    <w:rsid w:val="00F96DAF"/>
    <w:rsid w:val="00F97934"/>
    <w:rsid w:val="00FA03C5"/>
    <w:rsid w:val="00FA0B6E"/>
    <w:rsid w:val="00FA2FA7"/>
    <w:rsid w:val="00FA4398"/>
    <w:rsid w:val="00FA4B08"/>
    <w:rsid w:val="00FB094A"/>
    <w:rsid w:val="00FB3AE1"/>
    <w:rsid w:val="00FB6706"/>
    <w:rsid w:val="00FB7182"/>
    <w:rsid w:val="00FC1744"/>
    <w:rsid w:val="00FC1F2B"/>
    <w:rsid w:val="00FC2772"/>
    <w:rsid w:val="00FC2ED2"/>
    <w:rsid w:val="00FC3735"/>
    <w:rsid w:val="00FC3763"/>
    <w:rsid w:val="00FC47B6"/>
    <w:rsid w:val="00FC69C5"/>
    <w:rsid w:val="00FD0F82"/>
    <w:rsid w:val="00FD13BF"/>
    <w:rsid w:val="00FD2426"/>
    <w:rsid w:val="00FD2648"/>
    <w:rsid w:val="00FD400F"/>
    <w:rsid w:val="00FD57F0"/>
    <w:rsid w:val="00FD6856"/>
    <w:rsid w:val="00FD77E5"/>
    <w:rsid w:val="00FE08A6"/>
    <w:rsid w:val="00FE1FFA"/>
    <w:rsid w:val="00FE4DA4"/>
    <w:rsid w:val="00FE51B1"/>
    <w:rsid w:val="00FE61FB"/>
    <w:rsid w:val="00FE770C"/>
    <w:rsid w:val="00FF0D77"/>
    <w:rsid w:val="00FF0F08"/>
    <w:rsid w:val="00FF6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f0f0f4"/>
    </o:shapedefaults>
    <o:shapelayout v:ext="edit">
      <o:idmap v:ext="edit" data="1"/>
    </o:shapelayout>
  </w:shapeDefaults>
  <w:decimalSymbol w:val="."/>
  <w:listSeparator w:val=","/>
  <w14:docId w14:val="43E60822"/>
  <w15:docId w15:val="{02955833-D52A-4C6F-A671-8137D1E9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36"/>
  </w:style>
  <w:style w:type="paragraph" w:styleId="Heading1">
    <w:name w:val="heading 1"/>
    <w:basedOn w:val="Normal"/>
    <w:next w:val="Normal"/>
    <w:link w:val="Heading1Char"/>
    <w:uiPriority w:val="9"/>
    <w:qFormat/>
    <w:rsid w:val="00EE740F"/>
    <w:pPr>
      <w:keepNext/>
      <w:keepLines/>
      <w:pageBreakBefore/>
      <w:spacing w:before="480" w:after="840"/>
      <w:outlineLvl w:val="0"/>
    </w:pPr>
    <w:rPr>
      <w:rFonts w:ascii="Arial" w:eastAsiaTheme="majorEastAsia" w:hAnsi="Arial" w:cstheme="majorBidi"/>
      <w:bCs/>
      <w:i/>
      <w:color w:val="365F91" w:themeColor="accent1" w:themeShade="BF"/>
      <w:sz w:val="44"/>
      <w:szCs w:val="28"/>
    </w:rPr>
  </w:style>
  <w:style w:type="paragraph" w:styleId="Heading2">
    <w:name w:val="heading 2"/>
    <w:basedOn w:val="Normal"/>
    <w:next w:val="Normal"/>
    <w:link w:val="Heading2Char"/>
    <w:uiPriority w:val="9"/>
    <w:unhideWhenUsed/>
    <w:qFormat/>
    <w:rsid w:val="00CC4DAA"/>
    <w:pPr>
      <w:keepNext/>
      <w:keepLines/>
      <w:pBdr>
        <w:bottom w:val="single" w:sz="4" w:space="0" w:color="7F7F7F" w:themeColor="text1" w:themeTint="80"/>
      </w:pBdr>
      <w:spacing w:before="360" w:after="240"/>
      <w:contextualSpacing/>
      <w:outlineLvl w:val="1"/>
    </w:pPr>
    <w:rPr>
      <w:rFonts w:ascii="Arial" w:eastAsiaTheme="majorEastAsia" w:hAnsi="Arial" w:cstheme="majorBidi"/>
      <w:bCs/>
      <w:i/>
      <w:color w:val="404040" w:themeColor="text1" w:themeTint="BF"/>
      <w:sz w:val="28"/>
      <w:szCs w:val="26"/>
    </w:rPr>
  </w:style>
  <w:style w:type="paragraph" w:styleId="Heading3">
    <w:name w:val="heading 3"/>
    <w:basedOn w:val="Normal"/>
    <w:next w:val="Normal"/>
    <w:link w:val="Heading3Char"/>
    <w:uiPriority w:val="9"/>
    <w:unhideWhenUsed/>
    <w:qFormat/>
    <w:rsid w:val="00057B3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173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HeaderChar">
    <w:name w:val="Header Char"/>
    <w:basedOn w:val="DefaultParagraphFont"/>
    <w:link w:val="Header"/>
    <w:uiPriority w:val="99"/>
    <w:rsid w:val="00CC4DAA"/>
    <w:rPr>
      <w:rFonts w:ascii="Arial" w:hAnsi="Arial"/>
      <w:i/>
      <w:color w:val="404040" w:themeColor="text1" w:themeTint="BF"/>
      <w:sz w:val="18"/>
    </w:rPr>
  </w:style>
  <w:style w:type="paragraph" w:styleId="Footer">
    <w:name w:val="footer"/>
    <w:basedOn w:val="Normal"/>
    <w:link w:val="Foot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FooterChar">
    <w:name w:val="Footer Char"/>
    <w:basedOn w:val="DefaultParagraphFont"/>
    <w:link w:val="Footer"/>
    <w:uiPriority w:val="99"/>
    <w:rsid w:val="00CC4DAA"/>
    <w:rPr>
      <w:rFonts w:ascii="Arial" w:hAnsi="Arial"/>
      <w:i/>
      <w:color w:val="404040" w:themeColor="text1" w:themeTint="BF"/>
      <w:sz w:val="18"/>
    </w:rPr>
  </w:style>
  <w:style w:type="character" w:customStyle="1" w:styleId="Heading1Char">
    <w:name w:val="Heading 1 Char"/>
    <w:basedOn w:val="DefaultParagraphFont"/>
    <w:link w:val="Heading1"/>
    <w:uiPriority w:val="9"/>
    <w:rsid w:val="00EE740F"/>
    <w:rPr>
      <w:rFonts w:ascii="Arial" w:eastAsiaTheme="majorEastAsia" w:hAnsi="Arial" w:cstheme="majorBidi"/>
      <w:bCs/>
      <w:i/>
      <w:color w:val="365F91" w:themeColor="accent1" w:themeShade="BF"/>
      <w:sz w:val="44"/>
      <w:szCs w:val="28"/>
    </w:rPr>
  </w:style>
  <w:style w:type="paragraph" w:styleId="BodyText">
    <w:name w:val="Body Text"/>
    <w:basedOn w:val="Normal"/>
    <w:link w:val="BodyTextChar"/>
    <w:uiPriority w:val="99"/>
    <w:unhideWhenUsed/>
    <w:rsid w:val="0050731E"/>
    <w:pPr>
      <w:spacing w:after="120"/>
    </w:pPr>
    <w:rPr>
      <w:rFonts w:ascii="Arial" w:hAnsi="Arial"/>
      <w:sz w:val="18"/>
    </w:rPr>
  </w:style>
  <w:style w:type="character" w:customStyle="1" w:styleId="BodyTextChar">
    <w:name w:val="Body Text Char"/>
    <w:basedOn w:val="DefaultParagraphFont"/>
    <w:link w:val="BodyText"/>
    <w:uiPriority w:val="99"/>
    <w:rsid w:val="0050731E"/>
    <w:rPr>
      <w:rFonts w:ascii="Arial" w:hAnsi="Arial"/>
      <w:sz w:val="18"/>
    </w:rPr>
  </w:style>
  <w:style w:type="character" w:customStyle="1" w:styleId="Heading2Char">
    <w:name w:val="Heading 2 Char"/>
    <w:basedOn w:val="DefaultParagraphFont"/>
    <w:link w:val="Heading2"/>
    <w:uiPriority w:val="9"/>
    <w:rsid w:val="00CC4DAA"/>
    <w:rPr>
      <w:rFonts w:ascii="Arial" w:eastAsiaTheme="majorEastAsia" w:hAnsi="Arial" w:cstheme="majorBidi"/>
      <w:bCs/>
      <w:i/>
      <w:color w:val="404040" w:themeColor="text1" w:themeTint="BF"/>
      <w:sz w:val="28"/>
      <w:szCs w:val="26"/>
    </w:rPr>
  </w:style>
  <w:style w:type="table" w:styleId="TableGrid">
    <w:name w:val="Table Grid"/>
    <w:basedOn w:val="TableNormal"/>
    <w:uiPriority w:val="39"/>
    <w:rsid w:val="0097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aldata">
    <w:name w:val="General data"/>
    <w:basedOn w:val="TableNormal"/>
    <w:uiPriority w:val="99"/>
    <w:rsid w:val="00D413DF"/>
    <w:pPr>
      <w:spacing w:before="40" w:after="40" w:line="240" w:lineRule="auto"/>
      <w:jc w:val="center"/>
    </w:pPr>
    <w:rPr>
      <w:rFonts w:ascii="Arial" w:hAnsi="Arial"/>
      <w:color w:val="404040" w:themeColor="text1" w:themeTint="BF"/>
      <w:sz w:val="16"/>
    </w:rPr>
    <w:tblPr>
      <w:tblStyleRowBandSize w:val="1"/>
      <w:tblInd w:w="6" w:type="dxa"/>
      <w:tblBorders>
        <w:insideV w:val="single" w:sz="4" w:space="0" w:color="7F7F7F" w:themeColor="text1" w:themeTint="80"/>
      </w:tblBorders>
      <w:tblCellMar>
        <w:left w:w="0" w:type="dxa"/>
        <w:right w:w="0" w:type="dxa"/>
      </w:tblCellMar>
    </w:tblPr>
    <w:tcPr>
      <w:vAlign w:val="center"/>
    </w:tcPr>
    <w:tblStylePr w:type="firstRow">
      <w:rPr>
        <w:rFonts w:ascii="Arial" w:hAnsi="Arial"/>
        <w:b/>
        <w:color w:val="365F91" w:themeColor="accent1" w:themeShade="BF"/>
        <w:sz w:val="16"/>
      </w:rPr>
      <w:tblPr/>
      <w:tcPr>
        <w:tcBorders>
          <w:top w:val="nil"/>
          <w:left w:val="nil"/>
          <w:bottom w:val="single" w:sz="12" w:space="0" w:color="365F91" w:themeColor="accent1" w:themeShade="BF"/>
          <w:right w:val="nil"/>
          <w:insideH w:val="nil"/>
          <w:insideV w:val="nil"/>
          <w:tl2br w:val="nil"/>
          <w:tr2bl w:val="nil"/>
        </w:tcBorders>
      </w:tcPr>
    </w:tblStylePr>
    <w:tblStylePr w:type="lastRow">
      <w:tblPr/>
      <w:tcPr>
        <w:tcBorders>
          <w:top w:val="nil"/>
          <w:left w:val="nil"/>
          <w:bottom w:val="single" w:sz="48" w:space="0" w:color="BCBACC"/>
          <w:right w:val="nil"/>
          <w:insideH w:val="single" w:sz="4" w:space="0" w:color="7F7F7F" w:themeColor="text1" w:themeTint="80"/>
          <w:insideV w:val="single" w:sz="4" w:space="0" w:color="7F7F7F" w:themeColor="text1" w:themeTint="80"/>
          <w:tl2br w:val="nil"/>
          <w:tr2bl w:val="nil"/>
        </w:tcBorders>
      </w:tcPr>
    </w:tblStylePr>
    <w:tblStylePr w:type="firstCol">
      <w:pPr>
        <w:jc w:val="left"/>
      </w:pPr>
    </w:tblStylePr>
    <w:tblStylePr w:type="lastCol">
      <w:pPr>
        <w:jc w:val="right"/>
      </w:pPr>
    </w:tblStylePr>
    <w:tblStylePr w:type="band1Horz">
      <w:tblPr/>
      <w:tcPr>
        <w:shd w:val="clear" w:color="auto" w:fill="FFFFFF" w:themeFill="background1"/>
      </w:tcPr>
    </w:tblStylePr>
  </w:style>
  <w:style w:type="table" w:styleId="LightShading">
    <w:name w:val="Light Shading"/>
    <w:basedOn w:val="TableNormal"/>
    <w:uiPriority w:val="60"/>
    <w:rsid w:val="00507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IAEtext">
    <w:name w:val="CIAE text"/>
    <w:basedOn w:val="Normal"/>
    <w:qFormat/>
    <w:rsid w:val="00CC4DAA"/>
    <w:pPr>
      <w:spacing w:after="240"/>
    </w:pPr>
    <w:rPr>
      <w:rFonts w:ascii="Arial" w:hAnsi="Arial"/>
      <w:color w:val="404040" w:themeColor="text1" w:themeTint="BF"/>
      <w:sz w:val="18"/>
    </w:rPr>
  </w:style>
  <w:style w:type="paragraph" w:customStyle="1" w:styleId="CIAEtablespace">
    <w:name w:val="CIAE table space"/>
    <w:basedOn w:val="Normal"/>
    <w:qFormat/>
    <w:rsid w:val="00E66506"/>
    <w:pPr>
      <w:spacing w:after="0" w:line="240" w:lineRule="auto"/>
    </w:pPr>
    <w:rPr>
      <w:rFonts w:ascii="Arial" w:hAnsi="Arial"/>
      <w:color w:val="FF0000"/>
      <w:sz w:val="18"/>
    </w:rPr>
  </w:style>
  <w:style w:type="paragraph" w:styleId="BalloonText">
    <w:name w:val="Balloon Text"/>
    <w:basedOn w:val="Normal"/>
    <w:link w:val="BalloonTextChar"/>
    <w:uiPriority w:val="99"/>
    <w:semiHidden/>
    <w:unhideWhenUsed/>
    <w:rsid w:val="0052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02"/>
    <w:rPr>
      <w:rFonts w:ascii="Tahoma" w:hAnsi="Tahoma" w:cs="Tahoma"/>
      <w:sz w:val="16"/>
      <w:szCs w:val="16"/>
    </w:rPr>
  </w:style>
  <w:style w:type="paragraph" w:customStyle="1" w:styleId="CIAEmap">
    <w:name w:val="CIAE map"/>
    <w:qFormat/>
    <w:rsid w:val="00CF4937"/>
    <w:pPr>
      <w:keepNext/>
      <w:pBdr>
        <w:top w:val="single" w:sz="12" w:space="1" w:color="365F91" w:themeColor="accent1" w:themeShade="BF"/>
        <w:bottom w:val="single" w:sz="48" w:space="1" w:color="BCBACC"/>
      </w:pBdr>
      <w:spacing w:after="0" w:line="240" w:lineRule="auto"/>
      <w:ind w:left="6" w:right="6"/>
      <w:jc w:val="center"/>
    </w:pPr>
    <w:rPr>
      <w:rFonts w:ascii="Arial" w:hAnsi="Arial"/>
      <w:color w:val="7F7F7F" w:themeColor="text1" w:themeTint="80"/>
      <w:sz w:val="18"/>
    </w:rPr>
  </w:style>
  <w:style w:type="paragraph" w:customStyle="1" w:styleId="CIAEflag">
    <w:name w:val="CIAE flag"/>
    <w:basedOn w:val="CIAEtext"/>
    <w:qFormat/>
    <w:rsid w:val="002F3244"/>
    <w:pPr>
      <w:keepNext/>
      <w:spacing w:after="480" w:line="240" w:lineRule="auto"/>
      <w:ind w:right="-227"/>
      <w:jc w:val="right"/>
    </w:pPr>
    <w:rPr>
      <w:sz w:val="120"/>
    </w:rPr>
  </w:style>
  <w:style w:type="paragraph" w:customStyle="1" w:styleId="CIAEtablefootnote">
    <w:name w:val="CIAE table footnote"/>
    <w:basedOn w:val="CIAEtext"/>
    <w:qFormat/>
    <w:rsid w:val="007605B4"/>
    <w:pPr>
      <w:spacing w:before="120"/>
      <w:contextualSpacing/>
    </w:pPr>
    <w:rPr>
      <w:i/>
      <w:sz w:val="16"/>
    </w:rPr>
  </w:style>
  <w:style w:type="character" w:customStyle="1" w:styleId="Heading3Char">
    <w:name w:val="Heading 3 Char"/>
    <w:basedOn w:val="DefaultParagraphFont"/>
    <w:link w:val="Heading3"/>
    <w:uiPriority w:val="9"/>
    <w:rsid w:val="00057B3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C02D0"/>
    <w:rPr>
      <w:color w:val="0000FF" w:themeColor="hyperlink"/>
      <w:u w:val="single"/>
    </w:rPr>
  </w:style>
  <w:style w:type="paragraph" w:customStyle="1" w:styleId="photoannotation">
    <w:name w:val="photo annotation"/>
    <w:basedOn w:val="CIAEtext"/>
    <w:qFormat/>
    <w:rsid w:val="00A4371D"/>
    <w:pPr>
      <w:spacing w:after="120"/>
    </w:pPr>
    <w:rPr>
      <w:i/>
    </w:rPr>
  </w:style>
  <w:style w:type="paragraph" w:customStyle="1" w:styleId="Figure-Table">
    <w:name w:val="Figure-Table"/>
    <w:basedOn w:val="CIAEtext"/>
    <w:qFormat/>
    <w:rsid w:val="00494CA0"/>
    <w:pPr>
      <w:keepNext/>
      <w:keepLines/>
      <w:spacing w:before="240" w:after="120"/>
      <w:contextualSpacing/>
    </w:pPr>
    <w:rPr>
      <w:b/>
    </w:rPr>
  </w:style>
  <w:style w:type="paragraph" w:customStyle="1" w:styleId="INSIGHTSplaceholder">
    <w:name w:val="INSIGHTS place holder"/>
    <w:basedOn w:val="CIAEtablespace"/>
    <w:qFormat/>
    <w:rsid w:val="00080E08"/>
    <w:pPr>
      <w:pageBreakBefore/>
      <w:numPr>
        <w:numId w:val="2"/>
      </w:numPr>
      <w:shd w:val="clear" w:color="auto" w:fill="FFFFFF" w:themeFill="background1"/>
      <w:ind w:left="714" w:hanging="357"/>
    </w:pPr>
    <w:rPr>
      <w:i/>
      <w:sz w:val="32"/>
    </w:rPr>
  </w:style>
  <w:style w:type="character" w:styleId="CommentReference">
    <w:name w:val="annotation reference"/>
    <w:basedOn w:val="DefaultParagraphFont"/>
    <w:uiPriority w:val="99"/>
    <w:semiHidden/>
    <w:unhideWhenUsed/>
    <w:rsid w:val="00344C4F"/>
    <w:rPr>
      <w:sz w:val="16"/>
      <w:szCs w:val="16"/>
    </w:rPr>
  </w:style>
  <w:style w:type="paragraph" w:styleId="CommentText">
    <w:name w:val="annotation text"/>
    <w:basedOn w:val="Normal"/>
    <w:link w:val="CommentTextChar"/>
    <w:uiPriority w:val="99"/>
    <w:unhideWhenUsed/>
    <w:rsid w:val="00344C4F"/>
    <w:pPr>
      <w:spacing w:line="240" w:lineRule="auto"/>
    </w:pPr>
    <w:rPr>
      <w:sz w:val="20"/>
      <w:szCs w:val="20"/>
    </w:rPr>
  </w:style>
  <w:style w:type="character" w:customStyle="1" w:styleId="CommentTextChar">
    <w:name w:val="Comment Text Char"/>
    <w:basedOn w:val="DefaultParagraphFont"/>
    <w:link w:val="CommentText"/>
    <w:uiPriority w:val="99"/>
    <w:rsid w:val="00344C4F"/>
    <w:rPr>
      <w:sz w:val="20"/>
      <w:szCs w:val="20"/>
    </w:rPr>
  </w:style>
  <w:style w:type="paragraph" w:styleId="CommentSubject">
    <w:name w:val="annotation subject"/>
    <w:basedOn w:val="CommentText"/>
    <w:next w:val="CommentText"/>
    <w:link w:val="CommentSubjectChar"/>
    <w:uiPriority w:val="99"/>
    <w:semiHidden/>
    <w:unhideWhenUsed/>
    <w:rsid w:val="00344C4F"/>
    <w:rPr>
      <w:b/>
      <w:bCs/>
    </w:rPr>
  </w:style>
  <w:style w:type="character" w:customStyle="1" w:styleId="CommentSubjectChar">
    <w:name w:val="Comment Subject Char"/>
    <w:basedOn w:val="CommentTextChar"/>
    <w:link w:val="CommentSubject"/>
    <w:uiPriority w:val="99"/>
    <w:semiHidden/>
    <w:rsid w:val="00344C4F"/>
    <w:rPr>
      <w:b/>
      <w:bCs/>
      <w:sz w:val="20"/>
      <w:szCs w:val="20"/>
    </w:rPr>
  </w:style>
  <w:style w:type="character" w:styleId="FollowedHyperlink">
    <w:name w:val="FollowedHyperlink"/>
    <w:basedOn w:val="DefaultParagraphFont"/>
    <w:uiPriority w:val="99"/>
    <w:semiHidden/>
    <w:unhideWhenUsed/>
    <w:rsid w:val="00E73153"/>
    <w:rPr>
      <w:color w:val="800080" w:themeColor="followedHyperlink"/>
      <w:u w:val="single"/>
    </w:rPr>
  </w:style>
  <w:style w:type="character" w:customStyle="1" w:styleId="Heading5Char">
    <w:name w:val="Heading 5 Char"/>
    <w:basedOn w:val="DefaultParagraphFont"/>
    <w:link w:val="Heading5"/>
    <w:uiPriority w:val="9"/>
    <w:semiHidden/>
    <w:rsid w:val="00F17395"/>
    <w:rPr>
      <w:rFonts w:asciiTheme="majorHAnsi" w:eastAsiaTheme="majorEastAsia" w:hAnsiTheme="majorHAnsi" w:cstheme="majorBidi"/>
      <w:color w:val="243F60" w:themeColor="accent1" w:themeShade="7F"/>
    </w:rPr>
  </w:style>
  <w:style w:type="paragraph" w:customStyle="1" w:styleId="CIAEflagsm">
    <w:name w:val="CIAE flag sm"/>
    <w:basedOn w:val="CIAEtext"/>
    <w:qFormat/>
    <w:rsid w:val="00E04A8B"/>
    <w:pPr>
      <w:keepNext/>
      <w:spacing w:before="240" w:after="120" w:line="240" w:lineRule="auto"/>
      <w:ind w:right="-113"/>
      <w:jc w:val="right"/>
    </w:pPr>
    <w:rPr>
      <w:noProof/>
      <w:lang w:eastAsia="en-GB"/>
    </w:rPr>
  </w:style>
  <w:style w:type="paragraph" w:styleId="NormalWeb">
    <w:name w:val="Normal (Web)"/>
    <w:basedOn w:val="Normal"/>
    <w:uiPriority w:val="99"/>
    <w:semiHidden/>
    <w:unhideWhenUsed/>
    <w:rsid w:val="00BF358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countryname">
    <w:name w:val="Table - country name"/>
    <w:basedOn w:val="CIAEtablespace"/>
    <w:qFormat/>
    <w:rsid w:val="00825313"/>
    <w:pPr>
      <w:keepNext/>
      <w:spacing w:after="120"/>
      <w:jc w:val="right"/>
    </w:pPr>
    <w:rPr>
      <w:i/>
      <w:color w:val="7F7F7F" w:themeColor="text1" w:themeTint="80"/>
    </w:rPr>
  </w:style>
  <w:style w:type="paragraph" w:styleId="Revision">
    <w:name w:val="Revision"/>
    <w:hidden/>
    <w:uiPriority w:val="99"/>
    <w:semiHidden/>
    <w:rsid w:val="00754CAF"/>
    <w:pPr>
      <w:spacing w:after="0" w:line="240" w:lineRule="auto"/>
    </w:pPr>
  </w:style>
  <w:style w:type="paragraph" w:styleId="IntenseQuote">
    <w:name w:val="Intense Quote"/>
    <w:basedOn w:val="Normal"/>
    <w:next w:val="Normal"/>
    <w:link w:val="IntenseQuoteChar"/>
    <w:uiPriority w:val="30"/>
    <w:qFormat/>
    <w:rsid w:val="003B79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9D5"/>
    <w:rPr>
      <w:b/>
      <w:bCs/>
      <w:i/>
      <w:iCs/>
      <w:color w:val="4F81BD" w:themeColor="accent1"/>
    </w:rPr>
  </w:style>
  <w:style w:type="paragraph" w:customStyle="1" w:styleId="CIAEIntenseQuote">
    <w:name w:val="CIAE Intense Quote"/>
    <w:basedOn w:val="IntenseQuote"/>
    <w:qFormat/>
    <w:rsid w:val="00DF6312"/>
    <w:pPr>
      <w:pBdr>
        <w:bottom w:val="none" w:sz="0" w:space="0" w:color="auto"/>
      </w:pBdr>
      <w:spacing w:before="0" w:after="60" w:line="264" w:lineRule="auto"/>
      <w:ind w:left="0" w:right="0"/>
    </w:pPr>
    <w:rPr>
      <w:rFonts w:ascii="Arial" w:hAnsi="Arial"/>
      <w:color w:val="365F9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3659">
      <w:bodyDiv w:val="1"/>
      <w:marLeft w:val="0"/>
      <w:marRight w:val="0"/>
      <w:marTop w:val="0"/>
      <w:marBottom w:val="0"/>
      <w:divBdr>
        <w:top w:val="none" w:sz="0" w:space="0" w:color="auto"/>
        <w:left w:val="none" w:sz="0" w:space="0" w:color="auto"/>
        <w:bottom w:val="none" w:sz="0" w:space="0" w:color="auto"/>
        <w:right w:val="none" w:sz="0" w:space="0" w:color="auto"/>
      </w:divBdr>
    </w:div>
    <w:div w:id="156577912">
      <w:bodyDiv w:val="1"/>
      <w:marLeft w:val="0"/>
      <w:marRight w:val="0"/>
      <w:marTop w:val="0"/>
      <w:marBottom w:val="0"/>
      <w:divBdr>
        <w:top w:val="none" w:sz="0" w:space="0" w:color="auto"/>
        <w:left w:val="none" w:sz="0" w:space="0" w:color="auto"/>
        <w:bottom w:val="none" w:sz="0" w:space="0" w:color="auto"/>
        <w:right w:val="none" w:sz="0" w:space="0" w:color="auto"/>
      </w:divBdr>
    </w:div>
    <w:div w:id="164638856">
      <w:bodyDiv w:val="1"/>
      <w:marLeft w:val="0"/>
      <w:marRight w:val="0"/>
      <w:marTop w:val="0"/>
      <w:marBottom w:val="0"/>
      <w:divBdr>
        <w:top w:val="none" w:sz="0" w:space="0" w:color="auto"/>
        <w:left w:val="none" w:sz="0" w:space="0" w:color="auto"/>
        <w:bottom w:val="none" w:sz="0" w:space="0" w:color="auto"/>
        <w:right w:val="none" w:sz="0" w:space="0" w:color="auto"/>
      </w:divBdr>
    </w:div>
    <w:div w:id="315887762">
      <w:bodyDiv w:val="1"/>
      <w:marLeft w:val="0"/>
      <w:marRight w:val="0"/>
      <w:marTop w:val="0"/>
      <w:marBottom w:val="0"/>
      <w:divBdr>
        <w:top w:val="none" w:sz="0" w:space="0" w:color="auto"/>
        <w:left w:val="none" w:sz="0" w:space="0" w:color="auto"/>
        <w:bottom w:val="none" w:sz="0" w:space="0" w:color="auto"/>
        <w:right w:val="none" w:sz="0" w:space="0" w:color="auto"/>
      </w:divBdr>
    </w:div>
    <w:div w:id="498270382">
      <w:bodyDiv w:val="1"/>
      <w:marLeft w:val="0"/>
      <w:marRight w:val="0"/>
      <w:marTop w:val="0"/>
      <w:marBottom w:val="0"/>
      <w:divBdr>
        <w:top w:val="none" w:sz="0" w:space="0" w:color="auto"/>
        <w:left w:val="none" w:sz="0" w:space="0" w:color="auto"/>
        <w:bottom w:val="none" w:sz="0" w:space="0" w:color="auto"/>
        <w:right w:val="none" w:sz="0" w:space="0" w:color="auto"/>
      </w:divBdr>
    </w:div>
    <w:div w:id="566263305">
      <w:bodyDiv w:val="1"/>
      <w:marLeft w:val="0"/>
      <w:marRight w:val="0"/>
      <w:marTop w:val="0"/>
      <w:marBottom w:val="0"/>
      <w:divBdr>
        <w:top w:val="none" w:sz="0" w:space="0" w:color="auto"/>
        <w:left w:val="none" w:sz="0" w:space="0" w:color="auto"/>
        <w:bottom w:val="none" w:sz="0" w:space="0" w:color="auto"/>
        <w:right w:val="none" w:sz="0" w:space="0" w:color="auto"/>
      </w:divBdr>
    </w:div>
    <w:div w:id="591934064">
      <w:bodyDiv w:val="1"/>
      <w:marLeft w:val="0"/>
      <w:marRight w:val="0"/>
      <w:marTop w:val="0"/>
      <w:marBottom w:val="0"/>
      <w:divBdr>
        <w:top w:val="none" w:sz="0" w:space="0" w:color="auto"/>
        <w:left w:val="none" w:sz="0" w:space="0" w:color="auto"/>
        <w:bottom w:val="none" w:sz="0" w:space="0" w:color="auto"/>
        <w:right w:val="none" w:sz="0" w:space="0" w:color="auto"/>
      </w:divBdr>
    </w:div>
    <w:div w:id="759906760">
      <w:bodyDiv w:val="1"/>
      <w:marLeft w:val="0"/>
      <w:marRight w:val="0"/>
      <w:marTop w:val="0"/>
      <w:marBottom w:val="0"/>
      <w:divBdr>
        <w:top w:val="none" w:sz="0" w:space="0" w:color="auto"/>
        <w:left w:val="none" w:sz="0" w:space="0" w:color="auto"/>
        <w:bottom w:val="none" w:sz="0" w:space="0" w:color="auto"/>
        <w:right w:val="none" w:sz="0" w:space="0" w:color="auto"/>
      </w:divBdr>
    </w:div>
    <w:div w:id="852844459">
      <w:bodyDiv w:val="1"/>
      <w:marLeft w:val="0"/>
      <w:marRight w:val="0"/>
      <w:marTop w:val="0"/>
      <w:marBottom w:val="0"/>
      <w:divBdr>
        <w:top w:val="none" w:sz="0" w:space="0" w:color="auto"/>
        <w:left w:val="none" w:sz="0" w:space="0" w:color="auto"/>
        <w:bottom w:val="none" w:sz="0" w:space="0" w:color="auto"/>
        <w:right w:val="none" w:sz="0" w:space="0" w:color="auto"/>
      </w:divBdr>
    </w:div>
    <w:div w:id="876623560">
      <w:bodyDiv w:val="1"/>
      <w:marLeft w:val="0"/>
      <w:marRight w:val="0"/>
      <w:marTop w:val="0"/>
      <w:marBottom w:val="0"/>
      <w:divBdr>
        <w:top w:val="none" w:sz="0" w:space="0" w:color="auto"/>
        <w:left w:val="none" w:sz="0" w:space="0" w:color="auto"/>
        <w:bottom w:val="none" w:sz="0" w:space="0" w:color="auto"/>
        <w:right w:val="none" w:sz="0" w:space="0" w:color="auto"/>
      </w:divBdr>
    </w:div>
    <w:div w:id="1062829559">
      <w:bodyDiv w:val="1"/>
      <w:marLeft w:val="0"/>
      <w:marRight w:val="0"/>
      <w:marTop w:val="0"/>
      <w:marBottom w:val="0"/>
      <w:divBdr>
        <w:top w:val="none" w:sz="0" w:space="0" w:color="auto"/>
        <w:left w:val="none" w:sz="0" w:space="0" w:color="auto"/>
        <w:bottom w:val="none" w:sz="0" w:space="0" w:color="auto"/>
        <w:right w:val="none" w:sz="0" w:space="0" w:color="auto"/>
      </w:divBdr>
    </w:div>
    <w:div w:id="1116406922">
      <w:bodyDiv w:val="1"/>
      <w:marLeft w:val="0"/>
      <w:marRight w:val="0"/>
      <w:marTop w:val="0"/>
      <w:marBottom w:val="0"/>
      <w:divBdr>
        <w:top w:val="none" w:sz="0" w:space="0" w:color="auto"/>
        <w:left w:val="none" w:sz="0" w:space="0" w:color="auto"/>
        <w:bottom w:val="none" w:sz="0" w:space="0" w:color="auto"/>
        <w:right w:val="none" w:sz="0" w:space="0" w:color="auto"/>
      </w:divBdr>
    </w:div>
    <w:div w:id="1444836713">
      <w:bodyDiv w:val="1"/>
      <w:marLeft w:val="0"/>
      <w:marRight w:val="0"/>
      <w:marTop w:val="0"/>
      <w:marBottom w:val="0"/>
      <w:divBdr>
        <w:top w:val="none" w:sz="0" w:space="0" w:color="auto"/>
        <w:left w:val="none" w:sz="0" w:space="0" w:color="auto"/>
        <w:bottom w:val="none" w:sz="0" w:space="0" w:color="auto"/>
        <w:right w:val="none" w:sz="0" w:space="0" w:color="auto"/>
      </w:divBdr>
    </w:div>
    <w:div w:id="1464542084">
      <w:bodyDiv w:val="1"/>
      <w:marLeft w:val="0"/>
      <w:marRight w:val="0"/>
      <w:marTop w:val="0"/>
      <w:marBottom w:val="0"/>
      <w:divBdr>
        <w:top w:val="none" w:sz="0" w:space="0" w:color="auto"/>
        <w:left w:val="none" w:sz="0" w:space="0" w:color="auto"/>
        <w:bottom w:val="none" w:sz="0" w:space="0" w:color="auto"/>
        <w:right w:val="none" w:sz="0" w:space="0" w:color="auto"/>
      </w:divBdr>
    </w:div>
    <w:div w:id="1504589054">
      <w:bodyDiv w:val="1"/>
      <w:marLeft w:val="0"/>
      <w:marRight w:val="0"/>
      <w:marTop w:val="0"/>
      <w:marBottom w:val="0"/>
      <w:divBdr>
        <w:top w:val="none" w:sz="0" w:space="0" w:color="auto"/>
        <w:left w:val="none" w:sz="0" w:space="0" w:color="auto"/>
        <w:bottom w:val="none" w:sz="0" w:space="0" w:color="auto"/>
        <w:right w:val="none" w:sz="0" w:space="0" w:color="auto"/>
      </w:divBdr>
    </w:div>
    <w:div w:id="1621573452">
      <w:bodyDiv w:val="1"/>
      <w:marLeft w:val="0"/>
      <w:marRight w:val="0"/>
      <w:marTop w:val="0"/>
      <w:marBottom w:val="0"/>
      <w:divBdr>
        <w:top w:val="none" w:sz="0" w:space="0" w:color="auto"/>
        <w:left w:val="none" w:sz="0" w:space="0" w:color="auto"/>
        <w:bottom w:val="none" w:sz="0" w:space="0" w:color="auto"/>
        <w:right w:val="none" w:sz="0" w:space="0" w:color="auto"/>
      </w:divBdr>
    </w:div>
    <w:div w:id="1634557076">
      <w:bodyDiv w:val="1"/>
      <w:marLeft w:val="0"/>
      <w:marRight w:val="0"/>
      <w:marTop w:val="0"/>
      <w:marBottom w:val="0"/>
      <w:divBdr>
        <w:top w:val="none" w:sz="0" w:space="0" w:color="auto"/>
        <w:left w:val="none" w:sz="0" w:space="0" w:color="auto"/>
        <w:bottom w:val="none" w:sz="0" w:space="0" w:color="auto"/>
        <w:right w:val="none" w:sz="0" w:space="0" w:color="auto"/>
      </w:divBdr>
    </w:div>
    <w:div w:id="1680154859">
      <w:bodyDiv w:val="1"/>
      <w:marLeft w:val="0"/>
      <w:marRight w:val="0"/>
      <w:marTop w:val="0"/>
      <w:marBottom w:val="0"/>
      <w:divBdr>
        <w:top w:val="none" w:sz="0" w:space="0" w:color="auto"/>
        <w:left w:val="none" w:sz="0" w:space="0" w:color="auto"/>
        <w:bottom w:val="none" w:sz="0" w:space="0" w:color="auto"/>
        <w:right w:val="none" w:sz="0" w:space="0" w:color="auto"/>
      </w:divBdr>
    </w:div>
    <w:div w:id="1698580081">
      <w:bodyDiv w:val="1"/>
      <w:marLeft w:val="0"/>
      <w:marRight w:val="0"/>
      <w:marTop w:val="0"/>
      <w:marBottom w:val="0"/>
      <w:divBdr>
        <w:top w:val="none" w:sz="0" w:space="0" w:color="auto"/>
        <w:left w:val="none" w:sz="0" w:space="0" w:color="auto"/>
        <w:bottom w:val="none" w:sz="0" w:space="0" w:color="auto"/>
        <w:right w:val="none" w:sz="0" w:space="0" w:color="auto"/>
      </w:divBdr>
    </w:div>
    <w:div w:id="1774325938">
      <w:bodyDiv w:val="1"/>
      <w:marLeft w:val="0"/>
      <w:marRight w:val="0"/>
      <w:marTop w:val="0"/>
      <w:marBottom w:val="0"/>
      <w:divBdr>
        <w:top w:val="none" w:sz="0" w:space="0" w:color="auto"/>
        <w:left w:val="none" w:sz="0" w:space="0" w:color="auto"/>
        <w:bottom w:val="none" w:sz="0" w:space="0" w:color="auto"/>
        <w:right w:val="none" w:sz="0" w:space="0" w:color="auto"/>
      </w:divBdr>
    </w:div>
    <w:div w:id="1783496790">
      <w:bodyDiv w:val="1"/>
      <w:marLeft w:val="0"/>
      <w:marRight w:val="0"/>
      <w:marTop w:val="0"/>
      <w:marBottom w:val="0"/>
      <w:divBdr>
        <w:top w:val="none" w:sz="0" w:space="0" w:color="auto"/>
        <w:left w:val="none" w:sz="0" w:space="0" w:color="auto"/>
        <w:bottom w:val="none" w:sz="0" w:space="0" w:color="auto"/>
        <w:right w:val="none" w:sz="0" w:space="0" w:color="auto"/>
      </w:divBdr>
    </w:div>
    <w:div w:id="1826430826">
      <w:bodyDiv w:val="1"/>
      <w:marLeft w:val="0"/>
      <w:marRight w:val="0"/>
      <w:marTop w:val="0"/>
      <w:marBottom w:val="0"/>
      <w:divBdr>
        <w:top w:val="none" w:sz="0" w:space="0" w:color="auto"/>
        <w:left w:val="none" w:sz="0" w:space="0" w:color="auto"/>
        <w:bottom w:val="none" w:sz="0" w:space="0" w:color="auto"/>
        <w:right w:val="none" w:sz="0" w:space="0" w:color="auto"/>
      </w:divBdr>
    </w:div>
    <w:div w:id="1881164219">
      <w:bodyDiv w:val="1"/>
      <w:marLeft w:val="0"/>
      <w:marRight w:val="0"/>
      <w:marTop w:val="0"/>
      <w:marBottom w:val="0"/>
      <w:divBdr>
        <w:top w:val="none" w:sz="0" w:space="0" w:color="auto"/>
        <w:left w:val="none" w:sz="0" w:space="0" w:color="auto"/>
        <w:bottom w:val="none" w:sz="0" w:space="0" w:color="auto"/>
        <w:right w:val="none" w:sz="0" w:space="0" w:color="auto"/>
      </w:divBdr>
    </w:div>
    <w:div w:id="1927029392">
      <w:bodyDiv w:val="1"/>
      <w:marLeft w:val="0"/>
      <w:marRight w:val="0"/>
      <w:marTop w:val="0"/>
      <w:marBottom w:val="0"/>
      <w:divBdr>
        <w:top w:val="none" w:sz="0" w:space="0" w:color="auto"/>
        <w:left w:val="none" w:sz="0" w:space="0" w:color="auto"/>
        <w:bottom w:val="none" w:sz="0" w:space="0" w:color="auto"/>
        <w:right w:val="none" w:sz="0" w:space="0" w:color="auto"/>
      </w:divBdr>
    </w:div>
    <w:div w:id="1930498856">
      <w:bodyDiv w:val="1"/>
      <w:marLeft w:val="0"/>
      <w:marRight w:val="0"/>
      <w:marTop w:val="0"/>
      <w:marBottom w:val="0"/>
      <w:divBdr>
        <w:top w:val="none" w:sz="0" w:space="0" w:color="auto"/>
        <w:left w:val="none" w:sz="0" w:space="0" w:color="auto"/>
        <w:bottom w:val="none" w:sz="0" w:space="0" w:color="auto"/>
        <w:right w:val="none" w:sz="0" w:space="0" w:color="auto"/>
      </w:divBdr>
    </w:div>
    <w:div w:id="20566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10AC-2197-494B-A5B3-BFD89A94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2729</Words>
  <Characters>15558</Characters>
  <Application>Microsoft Office Word</Application>
  <DocSecurity>0</DocSecurity>
  <Lines>129</Lines>
  <Paragraphs>36</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Front Cover</vt:lpstr>
      <vt:lpstr/>
      <vt:lpstr>Contents</vt:lpstr>
      <vt:lpstr>Introduction</vt:lpstr>
      <vt:lpstr>Foreword</vt:lpstr>
      <vt:lpstr>From Energy Union to a carbon-neutral Europe via a just transition</vt:lpstr>
      <vt:lpstr>    The vision</vt:lpstr>
      <vt:lpstr>    The challenge</vt:lpstr>
      <vt:lpstr>    The response</vt:lpstr>
      <vt:lpstr>    The social dimension</vt:lpstr>
      <vt:lpstr>    A just transition</vt:lpstr>
      <vt:lpstr>Added value from coal</vt:lpstr>
      <vt:lpstr>    </vt:lpstr>
      <vt:lpstr>International coal market and global energy trends</vt:lpstr>
      <vt:lpstr>    Coal and sustainability</vt:lpstr>
      <vt:lpstr>    Global energy mix and coal</vt:lpstr>
      <vt:lpstr>    World coal resources</vt:lpstr>
      <vt:lpstr>    EU coal resources</vt:lpstr>
      <vt:lpstr>    International coal market</vt:lpstr>
      <vt:lpstr>    Global energy trends</vt:lpstr>
      <vt:lpstr>Bulgaria</vt:lpstr>
      <vt:lpstr>    Lignite</vt:lpstr>
      <vt:lpstr>    Brown coal</vt:lpstr>
      <vt:lpstr>    Hard coal</vt:lpstr>
      <vt:lpstr>Czech Republic</vt:lpstr>
      <vt:lpstr>    Hard coal</vt:lpstr>
      <vt:lpstr>    Brown coal and lignite</vt:lpstr>
      <vt:lpstr>Germany</vt:lpstr>
      <vt:lpstr>    Hard coal</vt:lpstr>
      <vt:lpstr>    Brown coal and lignite</vt:lpstr>
      <vt:lpstr>Greece</vt:lpstr>
      <vt:lpstr>    Lignite</vt:lpstr>
      <vt:lpstr>Hungary</vt:lpstr>
      <vt:lpstr>    Lignite</vt:lpstr>
      <vt:lpstr>    Hard coal</vt:lpstr>
      <vt:lpstr>Poland</vt:lpstr>
      <vt:lpstr>    Hard coal</vt:lpstr>
    </vt:vector>
  </TitlesOfParts>
  <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EURACOAL</dc:creator>
  <cp:lastModifiedBy>Brian Ricketts - EURACOAL</cp:lastModifiedBy>
  <cp:revision>3</cp:revision>
  <cp:lastPrinted>2020-01-08T22:09:00Z</cp:lastPrinted>
  <dcterms:created xsi:type="dcterms:W3CDTF">2023-07-03T08:14:00Z</dcterms:created>
  <dcterms:modified xsi:type="dcterms:W3CDTF">2023-07-03T08:15:00Z</dcterms:modified>
</cp:coreProperties>
</file>