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0F0F4"/>
  <w:body>
    <w:p w14:paraId="43E60B31" w14:textId="77777777" w:rsidR="007B7CA4" w:rsidRPr="006D76CD" w:rsidRDefault="00500B3E" w:rsidP="00500B3E">
      <w:pPr>
        <w:pStyle w:val="Heading1"/>
      </w:pPr>
      <w:r w:rsidRPr="006D76CD">
        <w:t>Bulgaria</w:t>
      </w:r>
    </w:p>
    <w:p w14:paraId="43E60B32" w14:textId="77777777" w:rsidR="00B72F13" w:rsidRPr="006D76CD" w:rsidRDefault="00B72F13" w:rsidP="001A472D">
      <w:pPr>
        <w:pStyle w:val="CIAEtext"/>
        <w:spacing w:after="200"/>
      </w:pPr>
      <w:r w:rsidRPr="006D76CD">
        <w:t>Since the global economic crisis of 2007-08, the Bulgarian economy has grown steadily, by up to 4% per year.  In 2018, GDP growth was 3.4% and the unemployment rate was 5.2%.  The driving forces for this growth are investment and domestic consumption as disposable household incomes rise.  EU funds and low interest rates on loans provide favourable investment conditions.</w:t>
      </w:r>
    </w:p>
    <w:p w14:paraId="43E60B33" w14:textId="77777777" w:rsidR="00B72F13" w:rsidRPr="006D76CD" w:rsidRDefault="00B72F13" w:rsidP="00041451">
      <w:pPr>
        <w:pStyle w:val="CIAEtext"/>
        <w:spacing w:after="220"/>
      </w:pPr>
      <w:r w:rsidRPr="006D76CD">
        <w:t xml:space="preserve">With its large resource potential, the mining sector is of great importance to Bulgaria and has developed strongly over the years.  The mining sector has attracted considerable local and foreign investment with several companies investing in world-class exploration, extraction and processing projects.  The </w:t>
      </w:r>
      <w:r w:rsidRPr="006D76CD">
        <w:rPr>
          <w:i/>
        </w:rPr>
        <w:t>National Strategy for the Development of the Mining Industry to 2030</w:t>
      </w:r>
      <w:r w:rsidRPr="006D76CD">
        <w:t xml:space="preserve"> envisages further </w:t>
      </w:r>
      <w:r w:rsidR="00D80272">
        <w:t xml:space="preserve">growth </w:t>
      </w:r>
      <w:r w:rsidRPr="006D76CD">
        <w:t>of the sector.</w:t>
      </w:r>
    </w:p>
    <w:p w14:paraId="43E60B34" w14:textId="77777777" w:rsidR="00B72F13" w:rsidRPr="006D76CD" w:rsidRDefault="00B72F13" w:rsidP="001A472D">
      <w:pPr>
        <w:pStyle w:val="CIAEtext"/>
        <w:spacing w:after="200"/>
      </w:pPr>
      <w:r w:rsidRPr="006D76CD">
        <w:t xml:space="preserve">Following its </w:t>
      </w:r>
      <w:r w:rsidRPr="006D76CD">
        <w:rPr>
          <w:i/>
        </w:rPr>
        <w:t>Energy Strategy to 2020</w:t>
      </w:r>
      <w:r w:rsidRPr="006D76CD">
        <w:t>, the Bulgarian government is elaborating a new energy strategy to 2030, with a horizon to 2050.  The key priorities are:</w:t>
      </w:r>
      <w:r w:rsidR="00D80272">
        <w:t xml:space="preserve">  </w:t>
      </w:r>
      <w:r w:rsidRPr="006D76CD">
        <w:t xml:space="preserve">guaranteeing energy security and the financial stability of companies in the energy </w:t>
      </w:r>
      <w:proofErr w:type="gramStart"/>
      <w:r w:rsidRPr="006D76CD">
        <w:t>sector;</w:t>
      </w:r>
      <w:r w:rsidR="00D80272">
        <w:t xml:space="preserve">  </w:t>
      </w:r>
      <w:r w:rsidRPr="006D76CD">
        <w:t>full</w:t>
      </w:r>
      <w:proofErr w:type="gramEnd"/>
      <w:r w:rsidRPr="006D76CD">
        <w:t xml:space="preserve"> liberalisation of the Bulgarian electricity market in line with EU legislation;</w:t>
      </w:r>
      <w:r w:rsidR="00D80272">
        <w:t xml:space="preserve">  </w:t>
      </w:r>
      <w:r w:rsidRPr="006D76CD">
        <w:t xml:space="preserve">selection of a </w:t>
      </w:r>
      <w:r w:rsidR="00183AB9">
        <w:t xml:space="preserve">prime </w:t>
      </w:r>
      <w:r w:rsidRPr="006D76CD">
        <w:t xml:space="preserve">contractor for </w:t>
      </w:r>
      <w:r w:rsidR="00FF60DE">
        <w:t xml:space="preserve">the </w:t>
      </w:r>
      <w:r w:rsidRPr="006D76CD">
        <w:t>Belene nuclear power plant;</w:t>
      </w:r>
      <w:r w:rsidR="00D80272">
        <w:t xml:space="preserve">  </w:t>
      </w:r>
      <w:r w:rsidRPr="006D76CD">
        <w:t xml:space="preserve">continued gas exploration in the Black Sea and construction of </w:t>
      </w:r>
      <w:r w:rsidR="00183AB9">
        <w:t xml:space="preserve">related </w:t>
      </w:r>
      <w:r w:rsidRPr="006D76CD">
        <w:t>infrastructure;</w:t>
      </w:r>
      <w:r w:rsidR="00D80272">
        <w:t xml:space="preserve">  </w:t>
      </w:r>
      <w:r w:rsidRPr="004E116E">
        <w:t>increas</w:t>
      </w:r>
      <w:r w:rsidR="00183AB9">
        <w:t>ing</w:t>
      </w:r>
      <w:r w:rsidRPr="006D76CD">
        <w:t xml:space="preserve"> the share of renewable </w:t>
      </w:r>
      <w:r w:rsidRPr="00D80272">
        <w:t>energy</w:t>
      </w:r>
      <w:r w:rsidRPr="006D76CD">
        <w:t xml:space="preserve"> sources in power generation;  and</w:t>
      </w:r>
      <w:r w:rsidR="00D80272">
        <w:t xml:space="preserve"> </w:t>
      </w:r>
      <w:r w:rsidR="00183AB9">
        <w:t xml:space="preserve">implementing </w:t>
      </w:r>
      <w:r w:rsidRPr="006D76CD">
        <w:t>an energy efficiency programme.</w:t>
      </w:r>
    </w:p>
    <w:p w14:paraId="43E60B35" w14:textId="77777777" w:rsidR="00B72F13" w:rsidRPr="006D76CD" w:rsidRDefault="003C0CE3" w:rsidP="001A472D">
      <w:pPr>
        <w:pStyle w:val="CIAEtext"/>
        <w:spacing w:after="200"/>
      </w:pPr>
      <w:r w:rsidRPr="00041451">
        <w:rPr>
          <w:spacing w:val="-1"/>
        </w:rPr>
        <w:t>In Octo</w:t>
      </w:r>
      <w:r w:rsidR="001A472D" w:rsidRPr="00041451">
        <w:rPr>
          <w:spacing w:val="-1"/>
        </w:rPr>
        <w:t>ber 2019, the Counci</w:t>
      </w:r>
      <w:r w:rsidR="008F2AE2">
        <w:rPr>
          <w:spacing w:val="-1"/>
        </w:rPr>
        <w:t>l</w:t>
      </w:r>
      <w:r w:rsidR="001A472D" w:rsidRPr="00041451">
        <w:rPr>
          <w:spacing w:val="-1"/>
        </w:rPr>
        <w:t xml:space="preserve"> of Ministers approved </w:t>
      </w:r>
      <w:r w:rsidR="00474BBF" w:rsidRPr="00041451">
        <w:rPr>
          <w:spacing w:val="-1"/>
        </w:rPr>
        <w:t xml:space="preserve">a </w:t>
      </w:r>
      <w:r w:rsidR="001A472D" w:rsidRPr="00041451">
        <w:rPr>
          <w:i/>
          <w:spacing w:val="-1"/>
        </w:rPr>
        <w:t xml:space="preserve">National </w:t>
      </w:r>
      <w:r w:rsidR="001A472D" w:rsidRPr="001A472D">
        <w:rPr>
          <w:i/>
        </w:rPr>
        <w:t>C</w:t>
      </w:r>
      <w:r w:rsidR="00B72F13" w:rsidRPr="001A472D">
        <w:rPr>
          <w:i/>
        </w:rPr>
        <w:t xml:space="preserve">limate </w:t>
      </w:r>
      <w:r w:rsidR="001A472D" w:rsidRPr="001A472D">
        <w:rPr>
          <w:i/>
        </w:rPr>
        <w:t>C</w:t>
      </w:r>
      <w:r w:rsidR="00B72F13" w:rsidRPr="001A472D">
        <w:rPr>
          <w:i/>
        </w:rPr>
        <w:t xml:space="preserve">hange </w:t>
      </w:r>
      <w:r w:rsidR="001A472D" w:rsidRPr="001A472D">
        <w:rPr>
          <w:i/>
        </w:rPr>
        <w:t>A</w:t>
      </w:r>
      <w:r w:rsidR="00B72F13" w:rsidRPr="001A472D">
        <w:rPr>
          <w:i/>
        </w:rPr>
        <w:t xml:space="preserve">daptation </w:t>
      </w:r>
      <w:r w:rsidR="001A472D" w:rsidRPr="001A472D">
        <w:rPr>
          <w:i/>
        </w:rPr>
        <w:t>S</w:t>
      </w:r>
      <w:r w:rsidR="00B72F13" w:rsidRPr="001A472D">
        <w:rPr>
          <w:i/>
        </w:rPr>
        <w:t xml:space="preserve">trategy </w:t>
      </w:r>
      <w:r w:rsidR="001A472D" w:rsidRPr="001A472D">
        <w:rPr>
          <w:i/>
        </w:rPr>
        <w:t>and Action Plan</w:t>
      </w:r>
      <w:r w:rsidR="001A472D">
        <w:t xml:space="preserve"> </w:t>
      </w:r>
      <w:r w:rsidR="00B72F13" w:rsidRPr="006D76CD">
        <w:t>for the period to 2030</w:t>
      </w:r>
      <w:r w:rsidR="00474BBF">
        <w:t xml:space="preserve">. </w:t>
      </w:r>
      <w:r w:rsidR="00A03D03">
        <w:t xml:space="preserve"> </w:t>
      </w:r>
      <w:r w:rsidR="00474BBF" w:rsidRPr="00474BBF">
        <w:t>Th</w:t>
      </w:r>
      <w:r w:rsidR="00474BBF">
        <w:t xml:space="preserve">is will </w:t>
      </w:r>
      <w:r w:rsidR="00474BBF" w:rsidRPr="00474BBF">
        <w:t>serve as a reference document, setting a framework for action and priority directions</w:t>
      </w:r>
      <w:r w:rsidR="00B72F13" w:rsidRPr="006D76CD">
        <w:t>.</w:t>
      </w:r>
    </w:p>
    <w:p w14:paraId="43E60B36" w14:textId="77777777" w:rsidR="00B72F13" w:rsidRPr="006D76CD" w:rsidRDefault="00FF60DE" w:rsidP="001A472D">
      <w:pPr>
        <w:pStyle w:val="CIAEtext"/>
        <w:spacing w:after="200"/>
      </w:pPr>
      <w:r w:rsidRPr="006D76CD">
        <w:t>P</w:t>
      </w:r>
      <w:r w:rsidR="00B72F13" w:rsidRPr="006D76CD">
        <w:t xml:space="preserve">rimary energy production totalled 16.8 million tonnes of coal equivalent in 2017, </w:t>
      </w:r>
      <w:r>
        <w:t xml:space="preserve">with </w:t>
      </w:r>
      <w:r w:rsidR="00B72F13" w:rsidRPr="006D76CD">
        <w:t>lignite and brown coal hav</w:t>
      </w:r>
      <w:r>
        <w:t>ing</w:t>
      </w:r>
      <w:r w:rsidR="00B72F13" w:rsidRPr="006D76CD">
        <w:t xml:space="preserve"> the highest share at 48.3%, followed by nuclear energy (34.6%).  Renewables (16.3%), </w:t>
      </w:r>
      <w:r w:rsidR="00EF6956">
        <w:t xml:space="preserve">fossil </w:t>
      </w:r>
      <w:r w:rsidR="00B72F13" w:rsidRPr="006D76CD">
        <w:t>gas (0.6%) and liquid fuels (0.2%) accounted for the remain</w:t>
      </w:r>
      <w:r>
        <w:t>ing energy production</w:t>
      </w:r>
      <w:r w:rsidR="00B72F13" w:rsidRPr="006D76CD">
        <w:t xml:space="preserve">.  In 2012, eight years early, Bulgaria </w:t>
      </w:r>
      <w:r w:rsidR="00B72F13" w:rsidRPr="004E116E">
        <w:t>reached</w:t>
      </w:r>
      <w:r w:rsidR="00B72F13" w:rsidRPr="006D76CD">
        <w:t xml:space="preserve"> its 2020 target of 16% renewable energy in final energy consumption, but at a high economic and political cost.</w:t>
      </w:r>
    </w:p>
    <w:p w14:paraId="43E60B37" w14:textId="77777777" w:rsidR="00D80272" w:rsidRPr="006D76CD" w:rsidRDefault="00B72F13" w:rsidP="001A472D">
      <w:pPr>
        <w:pStyle w:val="CIAEtext"/>
        <w:spacing w:after="200"/>
      </w:pPr>
      <w:r w:rsidRPr="006D76CD">
        <w:t xml:space="preserve">Due to its domestic production of coal and nuclear power, Bulgaria had an import dependency in 2017 of just 39.5%, far below the EU average of 55.1%.  At 32.7%, the share of coal in total primary energy supply is more than double the EU average, while the 21.7% share of </w:t>
      </w:r>
      <w:r w:rsidRPr="004E116E">
        <w:t>nuclear</w:t>
      </w:r>
      <w:r w:rsidRPr="006D76CD">
        <w:t xml:space="preserve"> power is </w:t>
      </w:r>
      <w:r w:rsidR="00D80272" w:rsidRPr="006D76CD">
        <w:t>around 70% above the EU average.  Power prices are correspondingly low – among the lowest in the EU.</w:t>
      </w:r>
    </w:p>
    <w:p w14:paraId="43E60B38" w14:textId="77777777" w:rsidR="00D80272" w:rsidRPr="00D80272" w:rsidRDefault="004E116E" w:rsidP="00D80272">
      <w:pPr>
        <w:pStyle w:val="CIAEtext"/>
      </w:pPr>
      <w:r>
        <w:t xml:space="preserve">Coal </w:t>
      </w:r>
      <w:r w:rsidRPr="00D80272">
        <w:t>p</w:t>
      </w:r>
      <w:r w:rsidR="00D80272" w:rsidRPr="00D80272">
        <w:t xml:space="preserve">ower plants accounted for 45.9% of total electricity generation in 2017 and </w:t>
      </w:r>
      <w:r w:rsidR="00FF60DE">
        <w:t xml:space="preserve">help to </w:t>
      </w:r>
      <w:r w:rsidR="00D80272" w:rsidRPr="00D80272">
        <w:t xml:space="preserve">guarantee Bulgaria’s energy security and economic competitiveness.  </w:t>
      </w:r>
      <w:r w:rsidRPr="00D80272">
        <w:t>I</w:t>
      </w:r>
      <w:r w:rsidR="00D80272" w:rsidRPr="00D80272">
        <w:t xml:space="preserve">ndigenous coal reserves can </w:t>
      </w:r>
      <w:r>
        <w:t xml:space="preserve">fuel </w:t>
      </w:r>
      <w:r w:rsidR="00D80272" w:rsidRPr="00D80272">
        <w:t xml:space="preserve">power generation </w:t>
      </w:r>
      <w:r>
        <w:t xml:space="preserve">for </w:t>
      </w:r>
      <w:r w:rsidR="00D80272" w:rsidRPr="00D80272">
        <w:t>the next sixty years.</w:t>
      </w:r>
    </w:p>
    <w:p w14:paraId="43E60B39" w14:textId="77777777" w:rsidR="00B72F13" w:rsidRPr="006D76CD" w:rsidRDefault="00B72F13" w:rsidP="00B72F13">
      <w:pPr>
        <w:pStyle w:val="CIAEflag"/>
      </w:pPr>
      <w:r w:rsidRPr="006D76CD">
        <w:rPr>
          <w:noProof/>
          <w:lang w:eastAsia="en-GB"/>
        </w:rPr>
        <w:drawing>
          <wp:inline distT="0" distB="0" distL="0" distR="0" wp14:anchorId="43E61979" wp14:editId="43E6197A">
            <wp:extent cx="1202400" cy="900000"/>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garia_round_icon_640.jpg"/>
                    <pic:cNvPicPr/>
                  </pic:nvPicPr>
                  <pic:blipFill>
                    <a:blip r:embed="rId8">
                      <a:extLst>
                        <a:ext uri="{28A0092B-C50C-407E-A947-70E740481C1C}">
                          <a14:useLocalDpi xmlns:a14="http://schemas.microsoft.com/office/drawing/2010/main" val="0"/>
                        </a:ext>
                      </a:extLst>
                    </a:blip>
                    <a:stretch>
                      <a:fillRect/>
                    </a:stretch>
                  </pic:blipFill>
                  <pic:spPr>
                    <a:xfrm>
                      <a:off x="0" y="0"/>
                      <a:ext cx="1202400" cy="900000"/>
                    </a:xfrm>
                    <a:prstGeom prst="rect">
                      <a:avLst/>
                    </a:prstGeom>
                  </pic:spPr>
                </pic:pic>
              </a:graphicData>
            </a:graphic>
          </wp:inline>
        </w:drawing>
      </w:r>
    </w:p>
    <w:p w14:paraId="43E60B3A" w14:textId="77777777" w:rsidR="00B72F13" w:rsidRPr="006D76CD" w:rsidRDefault="00B72F13" w:rsidP="00B72F13">
      <w:pPr>
        <w:pStyle w:val="CIAEmap"/>
      </w:pPr>
      <w:r w:rsidRPr="006D76CD">
        <w:rPr>
          <w:noProof/>
          <w:lang w:eastAsia="en-GB"/>
        </w:rPr>
        <w:drawing>
          <wp:inline distT="0" distB="0" distL="0" distR="0" wp14:anchorId="43E6197B" wp14:editId="43E6197C">
            <wp:extent cx="3095625" cy="3560299"/>
            <wp:effectExtent l="0" t="0" r="0" b="254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95625" cy="3560299"/>
                    </a:xfrm>
                    <a:prstGeom prst="rect">
                      <a:avLst/>
                    </a:prstGeom>
                  </pic:spPr>
                </pic:pic>
              </a:graphicData>
            </a:graphic>
          </wp:inline>
        </w:drawing>
      </w:r>
    </w:p>
    <w:p w14:paraId="43E60B3B" w14:textId="77777777" w:rsidR="00B72F13" w:rsidRPr="006D76CD" w:rsidRDefault="00B72F13" w:rsidP="00B72F13">
      <w:pPr>
        <w:pStyle w:val="CIAEtablespace"/>
      </w:pPr>
    </w:p>
    <w:p w14:paraId="43E60B3C" w14:textId="77777777" w:rsidR="00B72F13" w:rsidRPr="006D76CD" w:rsidRDefault="00B72F13" w:rsidP="00B72F13">
      <w:pPr>
        <w:pStyle w:val="CIAEtablespace"/>
      </w:pPr>
    </w:p>
    <w:tbl>
      <w:tblPr>
        <w:tblStyle w:val="Generaldata"/>
        <w:tblW w:w="4875" w:type="dxa"/>
        <w:tblLook w:val="01E0" w:firstRow="1" w:lastRow="1" w:firstColumn="1" w:lastColumn="1" w:noHBand="0" w:noVBand="0"/>
      </w:tblPr>
      <w:tblGrid>
        <w:gridCol w:w="2721"/>
        <w:gridCol w:w="1020"/>
        <w:gridCol w:w="1134"/>
      </w:tblGrid>
      <w:tr w:rsidR="00B72F13" w:rsidRPr="006D76CD" w14:paraId="43E60B40" w14:textId="77777777" w:rsidTr="00E76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3D" w14:textId="77777777" w:rsidR="00B72F13" w:rsidRPr="006D76CD" w:rsidRDefault="00B72F13" w:rsidP="008D0133">
            <w:r w:rsidRPr="006D76CD">
              <w:t>General data</w:t>
            </w:r>
          </w:p>
        </w:tc>
        <w:tc>
          <w:tcPr>
            <w:tcW w:w="1020" w:type="dxa"/>
          </w:tcPr>
          <w:p w14:paraId="43E60B3E" w14:textId="77777777" w:rsidR="00B72F13" w:rsidRPr="006D76CD" w:rsidRDefault="00B72F13" w:rsidP="008D013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B3F" w14:textId="77777777" w:rsidR="00B72F13" w:rsidRPr="006D76CD" w:rsidRDefault="00B72F13" w:rsidP="008D0133">
            <w:r w:rsidRPr="006D76CD">
              <w:t>2018</w:t>
            </w:r>
          </w:p>
        </w:tc>
      </w:tr>
      <w:tr w:rsidR="00B72F13" w:rsidRPr="006D76CD" w14:paraId="43E60B44" w14:textId="77777777" w:rsidTr="00E7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41" w14:textId="77777777" w:rsidR="00B72F13" w:rsidRPr="006D76CD" w:rsidRDefault="00B72F13" w:rsidP="008D0133">
            <w:r w:rsidRPr="006D76CD">
              <w:t>Population</w:t>
            </w:r>
          </w:p>
        </w:tc>
        <w:tc>
          <w:tcPr>
            <w:tcW w:w="1020" w:type="dxa"/>
          </w:tcPr>
          <w:p w14:paraId="43E60B42" w14:textId="77777777" w:rsidR="00B72F13" w:rsidRPr="006D76CD" w:rsidRDefault="00B72F13" w:rsidP="008D0133">
            <w:pPr>
              <w:cnfStyle w:val="000000100000" w:firstRow="0" w:lastRow="0" w:firstColumn="0" w:lastColumn="0" w:oddVBand="0" w:evenVBand="0" w:oddHBand="1" w:evenHBand="0" w:firstRowFirstColumn="0" w:firstRowLastColumn="0" w:lastRowFirstColumn="0" w:lastRowLastColumn="0"/>
            </w:pPr>
            <w:r w:rsidRPr="006D76CD">
              <w:t>million</w:t>
            </w:r>
          </w:p>
        </w:tc>
        <w:tc>
          <w:tcPr>
            <w:cnfStyle w:val="000100000000" w:firstRow="0" w:lastRow="0" w:firstColumn="0" w:lastColumn="1" w:oddVBand="0" w:evenVBand="0" w:oddHBand="0" w:evenHBand="0" w:firstRowFirstColumn="0" w:firstRowLastColumn="0" w:lastRowFirstColumn="0" w:lastRowLastColumn="0"/>
            <w:tcW w:w="1134" w:type="dxa"/>
          </w:tcPr>
          <w:p w14:paraId="43E60B43" w14:textId="77777777" w:rsidR="00B72F13" w:rsidRPr="006D76CD" w:rsidRDefault="00B72F13" w:rsidP="008D0133">
            <w:r w:rsidRPr="006D76CD">
              <w:t>7.1</w:t>
            </w:r>
          </w:p>
        </w:tc>
      </w:tr>
      <w:tr w:rsidR="00B72F13" w:rsidRPr="006D76CD" w14:paraId="43E60B48" w14:textId="77777777" w:rsidTr="00E76CFF">
        <w:tc>
          <w:tcPr>
            <w:cnfStyle w:val="001000000000" w:firstRow="0" w:lastRow="0" w:firstColumn="1" w:lastColumn="0" w:oddVBand="0" w:evenVBand="0" w:oddHBand="0" w:evenHBand="0" w:firstRowFirstColumn="0" w:firstRowLastColumn="0" w:lastRowFirstColumn="0" w:lastRowLastColumn="0"/>
            <w:tcW w:w="2721" w:type="dxa"/>
          </w:tcPr>
          <w:p w14:paraId="43E60B45" w14:textId="77777777" w:rsidR="00B72F13" w:rsidRPr="006D76CD" w:rsidRDefault="00B72F13" w:rsidP="008D0133">
            <w:r w:rsidRPr="006D76CD">
              <w:t>GDP</w:t>
            </w:r>
          </w:p>
        </w:tc>
        <w:tc>
          <w:tcPr>
            <w:tcW w:w="1020" w:type="dxa"/>
          </w:tcPr>
          <w:p w14:paraId="43E60B46" w14:textId="77777777" w:rsidR="00B72F13" w:rsidRPr="006D76CD" w:rsidRDefault="00B72F13" w:rsidP="008D0133">
            <w:pPr>
              <w:cnfStyle w:val="000000000000" w:firstRow="0" w:lastRow="0" w:firstColumn="0" w:lastColumn="0" w:oddVBand="0" w:evenVBand="0" w:oddHBand="0" w:evenHBand="0" w:firstRowFirstColumn="0" w:firstRowLastColumn="0" w:lastRowFirstColumn="0" w:lastRowLastColumn="0"/>
            </w:pPr>
            <w:r w:rsidRPr="006D76CD">
              <w:t>€ billion</w:t>
            </w:r>
          </w:p>
        </w:tc>
        <w:tc>
          <w:tcPr>
            <w:cnfStyle w:val="000100000000" w:firstRow="0" w:lastRow="0" w:firstColumn="0" w:lastColumn="1" w:oddVBand="0" w:evenVBand="0" w:oddHBand="0" w:evenHBand="0" w:firstRowFirstColumn="0" w:firstRowLastColumn="0" w:lastRowFirstColumn="0" w:lastRowLastColumn="0"/>
            <w:tcW w:w="1134" w:type="dxa"/>
          </w:tcPr>
          <w:p w14:paraId="43E60B47" w14:textId="77777777" w:rsidR="00B72F13" w:rsidRPr="006D76CD" w:rsidRDefault="00B72F13" w:rsidP="008D0133">
            <w:r w:rsidRPr="006D76CD">
              <w:t>55.2</w:t>
            </w:r>
          </w:p>
        </w:tc>
      </w:tr>
      <w:tr w:rsidR="00B72F13" w:rsidRPr="006D76CD" w14:paraId="43E60B4C" w14:textId="77777777" w:rsidTr="00E76CF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B49" w14:textId="77777777" w:rsidR="00B72F13" w:rsidRPr="006D76CD" w:rsidRDefault="00B72F13" w:rsidP="008D0133">
            <w:r w:rsidRPr="006D76CD">
              <w:t>Per capita GDP</w:t>
            </w:r>
          </w:p>
        </w:tc>
        <w:tc>
          <w:tcPr>
            <w:tcW w:w="1020" w:type="dxa"/>
            <w:shd w:val="clear" w:color="auto" w:fill="FFFFFF" w:themeFill="background1"/>
          </w:tcPr>
          <w:p w14:paraId="43E60B4A" w14:textId="77777777" w:rsidR="00B72F13" w:rsidRPr="006D76CD" w:rsidRDefault="00B72F13" w:rsidP="008D0133">
            <w:pPr>
              <w:cnfStyle w:val="010000000000" w:firstRow="0" w:lastRow="1" w:firstColumn="0" w:lastColumn="0" w:oddVBand="0" w:evenVBand="0" w:oddHBand="0" w:evenHBand="0" w:firstRowFirstColumn="0" w:firstRowLastColumn="0" w:lastRowFirstColumn="0" w:lastRowLastColumn="0"/>
            </w:pPr>
            <w:r w:rsidRPr="006D76CD">
              <w:t>€/person</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B4B" w14:textId="77777777" w:rsidR="00B72F13" w:rsidRPr="006D76CD" w:rsidRDefault="00B72F13" w:rsidP="008D0133">
            <w:r w:rsidRPr="006D76CD">
              <w:t>7 800</w:t>
            </w:r>
          </w:p>
        </w:tc>
      </w:tr>
    </w:tbl>
    <w:p w14:paraId="43E60B4D" w14:textId="77777777" w:rsidR="00B72F13" w:rsidRPr="006D76CD" w:rsidRDefault="00B72F13" w:rsidP="00B72F13">
      <w:pPr>
        <w:pStyle w:val="CIAEtablespace"/>
      </w:pPr>
    </w:p>
    <w:p w14:paraId="43E60B4E" w14:textId="77777777" w:rsidR="00B72F13" w:rsidRDefault="00B72F13" w:rsidP="00B72F13">
      <w:pPr>
        <w:pStyle w:val="CIAEtablespace"/>
      </w:pPr>
    </w:p>
    <w:p w14:paraId="43E60B4F" w14:textId="77777777" w:rsidR="006100DE" w:rsidRDefault="006100DE" w:rsidP="00B72F13">
      <w:pPr>
        <w:pStyle w:val="CIAEtablespace"/>
      </w:pPr>
    </w:p>
    <w:p w14:paraId="43E60B50" w14:textId="77777777" w:rsidR="00B72F13" w:rsidRPr="006D76CD" w:rsidRDefault="00B72F13" w:rsidP="008C1578">
      <w:pPr>
        <w:pStyle w:val="CIAEtext"/>
        <w:spacing w:before="80"/>
      </w:pPr>
      <w:r w:rsidRPr="006D76CD">
        <w:t xml:space="preserve">The 1 926 MW </w:t>
      </w:r>
      <w:proofErr w:type="spellStart"/>
      <w:r w:rsidRPr="006D76CD">
        <w:t>Kozloduy</w:t>
      </w:r>
      <w:proofErr w:type="spellEnd"/>
      <w:r w:rsidRPr="006D76CD">
        <w:t xml:space="preserve"> nuclear power plant plays a prominent, baseload role.  The </w:t>
      </w:r>
      <w:r w:rsidR="00FD13BF">
        <w:t xml:space="preserve">ten-year </w:t>
      </w:r>
      <w:r w:rsidRPr="006D76CD">
        <w:t>lifetime extensions granted in 2017 and 201</w:t>
      </w:r>
      <w:r w:rsidR="00FD13BF">
        <w:t>9</w:t>
      </w:r>
      <w:r w:rsidRPr="006D76CD">
        <w:t xml:space="preserve"> for units 5 and 6 are of great </w:t>
      </w:r>
      <w:r w:rsidRPr="00FD13BF">
        <w:rPr>
          <w:spacing w:val="-2"/>
        </w:rPr>
        <w:t>importance</w:t>
      </w:r>
      <w:r w:rsidR="00FD13BF" w:rsidRPr="00FD13BF">
        <w:rPr>
          <w:spacing w:val="-2"/>
        </w:rPr>
        <w:t xml:space="preserve">; </w:t>
      </w:r>
      <w:r w:rsidRPr="00FD13BF">
        <w:rPr>
          <w:spacing w:val="-2"/>
        </w:rPr>
        <w:t xml:space="preserve">operation </w:t>
      </w:r>
      <w:r w:rsidR="00FD13BF" w:rsidRPr="00FD13BF">
        <w:rPr>
          <w:spacing w:val="-2"/>
        </w:rPr>
        <w:t xml:space="preserve">could continue </w:t>
      </w:r>
      <w:r w:rsidRPr="00FD13BF">
        <w:rPr>
          <w:spacing w:val="-2"/>
        </w:rPr>
        <w:t xml:space="preserve">for thirty years. </w:t>
      </w:r>
      <w:proofErr w:type="spellStart"/>
      <w:r w:rsidR="00FD13BF" w:rsidRPr="00FD13BF">
        <w:rPr>
          <w:spacing w:val="-2"/>
        </w:rPr>
        <w:t>Kozloduy</w:t>
      </w:r>
      <w:proofErr w:type="spellEnd"/>
      <w:r w:rsidR="00FD13BF" w:rsidRPr="00FD13BF">
        <w:t xml:space="preserve"> </w:t>
      </w:r>
      <w:r w:rsidRPr="006D76CD">
        <w:t>accounted for 34.1% of gross power generation in 2017.</w:t>
      </w:r>
    </w:p>
    <w:p w14:paraId="43E60B51" w14:textId="77777777" w:rsidR="006100DE" w:rsidRDefault="00B72F13" w:rsidP="00D11A49">
      <w:pPr>
        <w:pStyle w:val="CIAEtext"/>
      </w:pPr>
      <w:r w:rsidRPr="006D76CD">
        <w:t>The Bulgarian energy sector is important for the country’s energy-intensive industries and accounts for above EU</w:t>
      </w:r>
      <w:r w:rsidRPr="006D76CD">
        <w:noBreakHyphen/>
        <w:t xml:space="preserve">average shares in total employment and value added.  The sector </w:t>
      </w:r>
      <w:r w:rsidR="004E116E" w:rsidRPr="004E116E">
        <w:t>contributes to the soci</w:t>
      </w:r>
      <w:r w:rsidR="004E116E">
        <w:t>o-</w:t>
      </w:r>
      <w:r w:rsidR="004E116E" w:rsidRPr="004E116E">
        <w:t>economic</w:t>
      </w:r>
      <w:r w:rsidR="004E116E">
        <w:t xml:space="preserve"> </w:t>
      </w:r>
      <w:r w:rsidR="004E116E" w:rsidRPr="004E116E">
        <w:t xml:space="preserve">development and welfare of the </w:t>
      </w:r>
      <w:r w:rsidR="00FF60DE">
        <w:t xml:space="preserve">coal </w:t>
      </w:r>
      <w:r w:rsidR="004E116E" w:rsidRPr="004E116E">
        <w:t>mining municipalities</w:t>
      </w:r>
      <w:r w:rsidR="004E116E">
        <w:t>.</w:t>
      </w:r>
    </w:p>
    <w:p w14:paraId="43E60B52" w14:textId="77777777" w:rsidR="00B72F13" w:rsidRPr="006D76CD" w:rsidRDefault="006100DE" w:rsidP="00D11A49">
      <w:pPr>
        <w:pStyle w:val="CIAEtext"/>
      </w:pPr>
      <w:r>
        <w:t>L</w:t>
      </w:r>
      <w:r w:rsidR="00B72F13" w:rsidRPr="006D76CD">
        <w:t>arge investment</w:t>
      </w:r>
      <w:r w:rsidR="004E116E">
        <w:t>s</w:t>
      </w:r>
      <w:r w:rsidR="00B72F13" w:rsidRPr="006D76CD">
        <w:t xml:space="preserve"> in new capacity, rehabilitation of old power plants and expansion of the electricity grid </w:t>
      </w:r>
      <w:r w:rsidR="004E116E">
        <w:t xml:space="preserve">have been made </w:t>
      </w:r>
      <w:r w:rsidR="00B72F13" w:rsidRPr="006D76CD">
        <w:t>over recent years.  However, regulated consumer tariffs are insufficient to cover new investment</w:t>
      </w:r>
      <w:r w:rsidR="00FF60DE">
        <w:t>s</w:t>
      </w:r>
      <w:r w:rsidR="00B72F13" w:rsidRPr="006D76CD">
        <w:t xml:space="preserve"> and the CO</w:t>
      </w:r>
      <w:r w:rsidR="00B72F13" w:rsidRPr="006D76CD">
        <w:rPr>
          <w:vertAlign w:val="subscript"/>
        </w:rPr>
        <w:t>2</w:t>
      </w:r>
      <w:r w:rsidR="00B72F13" w:rsidRPr="006D76CD">
        <w:t xml:space="preserve"> emission allowance costs borne by electricity utilities, a situation exacerbated by the high number of consumers in arrears.</w:t>
      </w:r>
    </w:p>
    <w:p w14:paraId="43E60B53" w14:textId="77777777" w:rsidR="00B72F13" w:rsidRPr="006D76CD" w:rsidRDefault="00B72F13" w:rsidP="006100DE">
      <w:pPr>
        <w:pStyle w:val="Heading2"/>
        <w:spacing w:after="180"/>
      </w:pPr>
      <w:r w:rsidRPr="006D76CD">
        <w:t>Lignite</w:t>
      </w:r>
    </w:p>
    <w:p w14:paraId="43E60B54" w14:textId="77777777" w:rsidR="00B72F13" w:rsidRPr="006D76CD" w:rsidRDefault="00B72F13" w:rsidP="00D11A49">
      <w:pPr>
        <w:pStyle w:val="CIAEtext"/>
        <w:spacing w:after="180"/>
      </w:pPr>
      <w:r w:rsidRPr="006D76CD">
        <w:t xml:space="preserve">Opencast lignite mining is mainly carried out in the mines of MINI MARITSA IZTOK EAD (MMI) whose production of 28.0 million tonnes accounted for </w:t>
      </w:r>
      <w:r w:rsidR="003C0CE3">
        <w:t>96.6</w:t>
      </w:r>
      <w:r w:rsidRPr="006D76CD">
        <w:t xml:space="preserve">% of the country’s total </w:t>
      </w:r>
      <w:r w:rsidR="003C0CE3">
        <w:t xml:space="preserve">29.0 million tonnes </w:t>
      </w:r>
      <w:r w:rsidRPr="006D76CD">
        <w:t xml:space="preserve">in 2018.  Its mines cover an area of some 240 square kilometres, being the largest mining site in </w:t>
      </w:r>
      <w:proofErr w:type="gramStart"/>
      <w:r w:rsidRPr="006D76CD">
        <w:t>South East</w:t>
      </w:r>
      <w:proofErr w:type="gramEnd"/>
      <w:r w:rsidRPr="006D76CD">
        <w:t xml:space="preserve"> Europe.  MMI is also the biggest employer in Bulgaria.  The company supplies four power plants with its own lignite:  the state-owned Maritsa East 2 thermal power plant (TPP) (1 620 MW) and the privately owned CONTOURGLOBAL Maritsa </w:t>
      </w:r>
      <w:proofErr w:type="spellStart"/>
      <w:r w:rsidRPr="006D76CD">
        <w:t>Iztok</w:t>
      </w:r>
      <w:proofErr w:type="spellEnd"/>
      <w:r w:rsidRPr="006D76CD">
        <w:t xml:space="preserve"> East 3 TPP (908 MW), AES </w:t>
      </w:r>
      <w:proofErr w:type="spellStart"/>
      <w:r w:rsidRPr="006D76CD">
        <w:t>Galabovo</w:t>
      </w:r>
      <w:proofErr w:type="spellEnd"/>
      <w:r w:rsidRPr="006D76CD">
        <w:t xml:space="preserve"> TPP (670 MW) and BRIKELL TPP (200 MW).  MMI also supplies lignite to the 120 MW Maritsa 3 TPP in </w:t>
      </w:r>
      <w:proofErr w:type="spellStart"/>
      <w:r w:rsidRPr="006D76CD">
        <w:t>Dimitrovgrad</w:t>
      </w:r>
      <w:proofErr w:type="spellEnd"/>
      <w:r w:rsidRPr="006D76CD">
        <w:t>.</w:t>
      </w:r>
    </w:p>
    <w:p w14:paraId="43E60B55" w14:textId="77777777" w:rsidR="00B72F13" w:rsidRPr="006D76CD" w:rsidRDefault="00B72F13" w:rsidP="00D11A49">
      <w:pPr>
        <w:pStyle w:val="CIAEtext"/>
        <w:spacing w:after="180"/>
      </w:pPr>
      <w:r w:rsidRPr="006D76CD">
        <w:t xml:space="preserve">As a subsidiary of BULGARIAN ENERGY HOLDING, MMI plays an important role in ensuring national energy security.  In the next few </w:t>
      </w:r>
      <w:proofErr w:type="gramStart"/>
      <w:r w:rsidRPr="006D76CD">
        <w:t>years</w:t>
      </w:r>
      <w:proofErr w:type="gramEnd"/>
      <w:r w:rsidRPr="006D76CD">
        <w:t xml:space="preserve"> the level of lignite production by MMI will remain at 26</w:t>
      </w:r>
      <w:r w:rsidRPr="006D76CD">
        <w:noBreakHyphen/>
        <w:t xml:space="preserve">28 million tonnes, used exclusively for thermal power generation, whose share will remain stable.  As there is no alternative to lignite in the immediate future, no significant reduction in lignite production or lignite-fired power generation is foreseen.  Under the various </w:t>
      </w:r>
      <w:r w:rsidRPr="006D76CD">
        <w:rPr>
          <w:i/>
        </w:rPr>
        <w:t>Energy Strategy</w:t>
      </w:r>
      <w:r w:rsidRPr="006D76CD">
        <w:t xml:space="preserve"> scenarios, a decrease in lignite-fired power generation and capacity closures are projected after 2030 or when the new nuclear power plant is commissioned.</w:t>
      </w:r>
    </w:p>
    <w:p w14:paraId="43E60B56" w14:textId="77777777" w:rsidR="00B72F13" w:rsidRPr="006D76CD" w:rsidRDefault="00B72F13" w:rsidP="00D11A49">
      <w:pPr>
        <w:pStyle w:val="CIAEtext"/>
        <w:spacing w:after="180"/>
      </w:pPr>
      <w:r w:rsidRPr="006D76CD">
        <w:t>The price of lignite mined by MMI, despite being the lowest in the EU, will most probably remain unchanged in the years ahead.  This has a negative impact on the company’s ability to invest.  The company will rely on European investment funds for development projects, including diversification projects such as a solar PV farm on the spoil tip of a mine.</w:t>
      </w:r>
    </w:p>
    <w:p w14:paraId="43E60B57" w14:textId="77777777" w:rsidR="00B72F13" w:rsidRPr="006D76CD" w:rsidRDefault="00B72F13" w:rsidP="006100DE">
      <w:pPr>
        <w:pStyle w:val="CIAEtext"/>
        <w:spacing w:after="180"/>
      </w:pPr>
      <w:r w:rsidRPr="006D76CD">
        <w:t>Other lignite mining companies account</w:t>
      </w:r>
      <w:r w:rsidR="00787C08" w:rsidRPr="006D76CD">
        <w:t>ed</w:t>
      </w:r>
      <w:r w:rsidR="003C0CE3">
        <w:t xml:space="preserve"> for small shares </w:t>
      </w:r>
      <w:r w:rsidRPr="006D76CD">
        <w:t>of national lignite production in 2018</w:t>
      </w:r>
      <w:r w:rsidR="003C0CE3">
        <w:t xml:space="preserve">:  STANYANTSI JSC (1.9%) and BELI BYRAG </w:t>
      </w:r>
      <w:r w:rsidR="008F2AE2">
        <w:t xml:space="preserve">JSC </w:t>
      </w:r>
      <w:r w:rsidR="003C0CE3">
        <w:t>(1.5%)</w:t>
      </w:r>
      <w:r w:rsidRPr="006D76CD">
        <w:t>.</w:t>
      </w:r>
    </w:p>
    <w:p w14:paraId="43E60B58" w14:textId="77777777" w:rsidR="00D11A49" w:rsidRPr="006100DE" w:rsidRDefault="00D11A49" w:rsidP="006100DE">
      <w:pPr>
        <w:pStyle w:val="Heading2"/>
        <w:spacing w:after="180"/>
        <w:rPr>
          <w:bCs w:val="0"/>
          <w:iCs/>
        </w:rPr>
      </w:pPr>
      <w:r w:rsidRPr="006100DE">
        <w:rPr>
          <w:bCs w:val="0"/>
          <w:iCs/>
        </w:rPr>
        <w:t>Brown coal</w:t>
      </w:r>
    </w:p>
    <w:p w14:paraId="43E60B59" w14:textId="77777777" w:rsidR="00D11A49" w:rsidRPr="006D76CD" w:rsidRDefault="00D11A49" w:rsidP="00D11A49">
      <w:pPr>
        <w:pStyle w:val="CIAEtext"/>
        <w:spacing w:after="180"/>
      </w:pPr>
      <w:r w:rsidRPr="006D76CD">
        <w:t>Bulgaria’s brown coal deposits are mostly located in the western part of the country (</w:t>
      </w:r>
      <w:proofErr w:type="spellStart"/>
      <w:r w:rsidRPr="006D76CD">
        <w:t>Bobov</w:t>
      </w:r>
      <w:proofErr w:type="spellEnd"/>
      <w:r w:rsidRPr="006D76CD">
        <w:t xml:space="preserve"> Dol, Pernik and </w:t>
      </w:r>
      <w:proofErr w:type="spellStart"/>
      <w:r w:rsidRPr="006D76CD">
        <w:t>Pirin</w:t>
      </w:r>
      <w:proofErr w:type="spellEnd"/>
      <w:r w:rsidRPr="006D76CD">
        <w:t xml:space="preserve"> coalfields and the </w:t>
      </w:r>
      <w:proofErr w:type="spellStart"/>
      <w:r w:rsidRPr="006D76CD">
        <w:t>Katrishte</w:t>
      </w:r>
      <w:proofErr w:type="spellEnd"/>
      <w:r w:rsidRPr="006D76CD">
        <w:t xml:space="preserve"> deposit) and near the Black Sea (</w:t>
      </w:r>
      <w:proofErr w:type="spellStart"/>
      <w:r w:rsidRPr="006D76CD">
        <w:t>Cherno</w:t>
      </w:r>
      <w:proofErr w:type="spellEnd"/>
      <w:r w:rsidRPr="006D76CD">
        <w:t xml:space="preserve"> More coalfield).  In 2018, brown coal </w:t>
      </w:r>
      <w:r>
        <w:t xml:space="preserve">production </w:t>
      </w:r>
      <w:r w:rsidRPr="006D76CD">
        <w:t xml:space="preserve">from underground and surface mines </w:t>
      </w:r>
      <w:r>
        <w:t>was</w:t>
      </w:r>
      <w:r w:rsidR="003C0CE3">
        <w:t xml:space="preserve"> 1.3</w:t>
      </w:r>
      <w:r w:rsidRPr="006D76CD">
        <w:t> million tonnes.</w:t>
      </w:r>
    </w:p>
    <w:p w14:paraId="43E60B5A" w14:textId="77777777" w:rsidR="00D11A49" w:rsidRPr="00041451" w:rsidRDefault="00D11A49" w:rsidP="00D11A49">
      <w:pPr>
        <w:pStyle w:val="CIAEtext"/>
        <w:spacing w:after="180"/>
        <w:rPr>
          <w:spacing w:val="-2"/>
        </w:rPr>
      </w:pPr>
      <w:r w:rsidRPr="006D76CD">
        <w:t xml:space="preserve">VAGLEDOBIV BOBOV DOL EOOD mines in the </w:t>
      </w:r>
      <w:proofErr w:type="spellStart"/>
      <w:r w:rsidRPr="006D76CD">
        <w:t>Bobov</w:t>
      </w:r>
      <w:proofErr w:type="spellEnd"/>
      <w:r w:rsidRPr="006D76CD">
        <w:t xml:space="preserve"> Dol </w:t>
      </w:r>
      <w:r w:rsidRPr="00041451">
        <w:rPr>
          <w:spacing w:val="-2"/>
        </w:rPr>
        <w:t xml:space="preserve">coalfield, being the largest deposit of brown coal in the country with reserves amounting to some 100 million tonnes.  After the closure of the country’s last underground mine at </w:t>
      </w:r>
      <w:proofErr w:type="spellStart"/>
      <w:r w:rsidRPr="00041451">
        <w:rPr>
          <w:spacing w:val="-2"/>
        </w:rPr>
        <w:t>Bobov</w:t>
      </w:r>
      <w:proofErr w:type="spellEnd"/>
      <w:r w:rsidRPr="00041451">
        <w:rPr>
          <w:spacing w:val="-2"/>
        </w:rPr>
        <w:t xml:space="preserve"> Dol in 2018, only coal mined at a single opencast mine is supplied to the nearby 210 MW </w:t>
      </w:r>
      <w:proofErr w:type="spellStart"/>
      <w:r w:rsidRPr="00041451">
        <w:rPr>
          <w:spacing w:val="-2"/>
        </w:rPr>
        <w:t>Bobov</w:t>
      </w:r>
      <w:proofErr w:type="spellEnd"/>
      <w:r w:rsidRPr="00041451">
        <w:rPr>
          <w:spacing w:val="-2"/>
        </w:rPr>
        <w:t xml:space="preserve"> Dol TPP and </w:t>
      </w:r>
      <w:r w:rsidR="003C0CE3">
        <w:rPr>
          <w:spacing w:val="-2"/>
        </w:rPr>
        <w:t xml:space="preserve">to </w:t>
      </w:r>
      <w:r w:rsidRPr="00041451">
        <w:rPr>
          <w:spacing w:val="-2"/>
        </w:rPr>
        <w:t>households.</w:t>
      </w:r>
    </w:p>
    <w:p w14:paraId="43E60B5B" w14:textId="77777777" w:rsidR="00D11A49" w:rsidRDefault="00D11A49" w:rsidP="00D11A49">
      <w:pPr>
        <w:pStyle w:val="CIAEtext"/>
        <w:spacing w:after="180"/>
      </w:pPr>
      <w:r w:rsidRPr="006D76CD">
        <w:t>OTKRIT VAGLEDOBIV MINES EAD, another private company, owns two opencast mines in the Pernik coalfield</w:t>
      </w:r>
      <w:r>
        <w:t xml:space="preserve"> supplying </w:t>
      </w:r>
      <w:proofErr w:type="spellStart"/>
      <w:r>
        <w:t>Bobov</w:t>
      </w:r>
      <w:proofErr w:type="spellEnd"/>
      <w:r>
        <w:t xml:space="preserve"> Dol TPP.  </w:t>
      </w:r>
      <w:r w:rsidRPr="006D76CD">
        <w:t xml:space="preserve">BALKAN MK OOD carried out underground coal mining in the </w:t>
      </w:r>
      <w:proofErr w:type="spellStart"/>
      <w:r w:rsidRPr="006D76CD">
        <w:t>Oranovo</w:t>
      </w:r>
      <w:proofErr w:type="spellEnd"/>
      <w:r w:rsidRPr="006D76CD">
        <w:t xml:space="preserve"> coalfield with some 30 million tonnes of brown coal reserves.</w:t>
      </w:r>
    </w:p>
    <w:p w14:paraId="43E60B5C" w14:textId="77777777" w:rsidR="006100DE" w:rsidRPr="006D76CD" w:rsidRDefault="006100DE" w:rsidP="00D11A49">
      <w:pPr>
        <w:pStyle w:val="CIAEtext"/>
        <w:spacing w:after="180"/>
      </w:pPr>
      <w:r w:rsidRPr="006D76CD">
        <w:t>Other small</w:t>
      </w:r>
      <w:r>
        <w:t>,</w:t>
      </w:r>
      <w:r w:rsidRPr="006D76CD">
        <w:t xml:space="preserve"> privately owned mines are the </w:t>
      </w:r>
      <w:proofErr w:type="spellStart"/>
      <w:r w:rsidRPr="006D76CD">
        <w:t>Vitren</w:t>
      </w:r>
      <w:proofErr w:type="spellEnd"/>
      <w:r w:rsidRPr="006D76CD">
        <w:t xml:space="preserve"> mine located in the </w:t>
      </w:r>
      <w:proofErr w:type="spellStart"/>
      <w:r w:rsidRPr="006D76CD">
        <w:t>Katrishte</w:t>
      </w:r>
      <w:proofErr w:type="spellEnd"/>
      <w:r w:rsidRPr="006D76CD">
        <w:t xml:space="preserve"> deposit, with an annual capacity of </w:t>
      </w:r>
    </w:p>
    <w:p w14:paraId="43E60B5D" w14:textId="77777777" w:rsidR="00B72F13" w:rsidRPr="006D76CD" w:rsidRDefault="00B72F13" w:rsidP="00B72F13">
      <w:pPr>
        <w:pStyle w:val="Table-countryname"/>
      </w:pPr>
      <w:r w:rsidRPr="006D76CD">
        <w:t>Bulgaria</w:t>
      </w:r>
    </w:p>
    <w:tbl>
      <w:tblPr>
        <w:tblStyle w:val="Generaldata"/>
        <w:tblW w:w="4875" w:type="dxa"/>
        <w:tblLayout w:type="fixed"/>
        <w:tblLook w:val="05E0" w:firstRow="1" w:lastRow="1" w:firstColumn="1" w:lastColumn="1" w:noHBand="0" w:noVBand="1"/>
      </w:tblPr>
      <w:tblGrid>
        <w:gridCol w:w="2721"/>
        <w:gridCol w:w="1020"/>
        <w:gridCol w:w="1134"/>
      </w:tblGrid>
      <w:tr w:rsidR="00B72F13" w:rsidRPr="006D76CD" w14:paraId="43E60B61" w14:textId="77777777" w:rsidTr="00ED5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5E" w14:textId="77777777" w:rsidR="00B72F13" w:rsidRPr="006D76CD" w:rsidRDefault="00B72F13" w:rsidP="008D0133">
            <w:r w:rsidRPr="006D76CD">
              <w:t>Coal resources and reserves</w:t>
            </w:r>
          </w:p>
        </w:tc>
        <w:tc>
          <w:tcPr>
            <w:tcW w:w="1020" w:type="dxa"/>
          </w:tcPr>
          <w:p w14:paraId="43E60B5F" w14:textId="77777777" w:rsidR="00B72F13" w:rsidRPr="006D76CD" w:rsidRDefault="00B72F13" w:rsidP="008D013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B60" w14:textId="77777777" w:rsidR="00B72F13" w:rsidRPr="006D76CD" w:rsidRDefault="00FF60DE">
            <w:r>
              <w:t>as at 1.1.2018</w:t>
            </w:r>
          </w:p>
        </w:tc>
      </w:tr>
      <w:tr w:rsidR="00B72F13" w:rsidRPr="006D76CD" w14:paraId="43E60B65" w14:textId="77777777" w:rsidTr="00ED5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62" w14:textId="77777777" w:rsidR="00B72F13" w:rsidRPr="006D76CD" w:rsidRDefault="00B72F13" w:rsidP="008D0133">
            <w:r w:rsidRPr="006D76CD">
              <w:t>Total resources brown coal</w:t>
            </w:r>
          </w:p>
        </w:tc>
        <w:tc>
          <w:tcPr>
            <w:tcW w:w="1020" w:type="dxa"/>
          </w:tcPr>
          <w:p w14:paraId="43E60B63" w14:textId="77777777" w:rsidR="00B72F13" w:rsidRPr="006D76CD" w:rsidRDefault="00B72F13" w:rsidP="008D0133">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0B64" w14:textId="77777777" w:rsidR="00B72F13" w:rsidRPr="006D76CD" w:rsidRDefault="00B72F13" w:rsidP="008D0133">
            <w:r w:rsidRPr="006D76CD">
              <w:t>4 112</w:t>
            </w:r>
          </w:p>
        </w:tc>
      </w:tr>
      <w:tr w:rsidR="00B72F13" w:rsidRPr="006D76CD" w14:paraId="43E60B69" w14:textId="77777777" w:rsidTr="00ED510C">
        <w:tc>
          <w:tcPr>
            <w:cnfStyle w:val="001000000000" w:firstRow="0" w:lastRow="0" w:firstColumn="1" w:lastColumn="0" w:oddVBand="0" w:evenVBand="0" w:oddHBand="0" w:evenHBand="0" w:firstRowFirstColumn="0" w:firstRowLastColumn="0" w:lastRowFirstColumn="0" w:lastRowLastColumn="0"/>
            <w:tcW w:w="2721" w:type="dxa"/>
          </w:tcPr>
          <w:p w14:paraId="43E60B66" w14:textId="77777777" w:rsidR="00B72F13" w:rsidRPr="006D76CD" w:rsidRDefault="00B72F13" w:rsidP="008D0133">
            <w:r w:rsidRPr="006D76CD">
              <w:t>Total resources lignite</w:t>
            </w:r>
          </w:p>
        </w:tc>
        <w:tc>
          <w:tcPr>
            <w:tcW w:w="1020" w:type="dxa"/>
          </w:tcPr>
          <w:p w14:paraId="43E60B67" w14:textId="77777777" w:rsidR="00B72F13" w:rsidRPr="006D76CD" w:rsidRDefault="00B72F13" w:rsidP="008D0133">
            <w:pPr>
              <w:cnfStyle w:val="000000000000" w:firstRow="0" w:lastRow="0"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0B68" w14:textId="77777777" w:rsidR="00B72F13" w:rsidRPr="006D76CD" w:rsidRDefault="00B72F13" w:rsidP="008D0133">
            <w:r w:rsidRPr="006D76CD">
              <w:t>4 574</w:t>
            </w:r>
          </w:p>
        </w:tc>
      </w:tr>
      <w:tr w:rsidR="00B72F13" w:rsidRPr="006D76CD" w14:paraId="43E60B6D" w14:textId="77777777" w:rsidTr="00ED5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6A" w14:textId="77777777" w:rsidR="00B72F13" w:rsidRPr="006D76CD" w:rsidRDefault="00B72F13" w:rsidP="008D0133">
            <w:r w:rsidRPr="006D76CD">
              <w:t>Reserves brown coal</w:t>
            </w:r>
          </w:p>
        </w:tc>
        <w:tc>
          <w:tcPr>
            <w:tcW w:w="1020" w:type="dxa"/>
          </w:tcPr>
          <w:p w14:paraId="43E60B6B" w14:textId="77777777" w:rsidR="00B72F13" w:rsidRPr="006D76CD" w:rsidRDefault="00B72F13" w:rsidP="008D0133">
            <w:pPr>
              <w:cnfStyle w:val="000000100000" w:firstRow="0" w:lastRow="0" w:firstColumn="0" w:lastColumn="0" w:oddVBand="0" w:evenVBand="0" w:oddHBand="1"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0B6C" w14:textId="77777777" w:rsidR="00B72F13" w:rsidRPr="006D76CD" w:rsidRDefault="00B72F13" w:rsidP="008D0133">
            <w:r w:rsidRPr="006D76CD">
              <w:t>192</w:t>
            </w:r>
          </w:p>
        </w:tc>
      </w:tr>
      <w:tr w:rsidR="00B72F13" w:rsidRPr="006D76CD" w14:paraId="43E60B71" w14:textId="77777777" w:rsidTr="00ED510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6E" w14:textId="77777777" w:rsidR="00B72F13" w:rsidRPr="006D76CD" w:rsidRDefault="00B72F13" w:rsidP="008D0133">
            <w:r w:rsidRPr="006D76CD">
              <w:t>Reserves lignite</w:t>
            </w:r>
          </w:p>
        </w:tc>
        <w:tc>
          <w:tcPr>
            <w:tcW w:w="1020" w:type="dxa"/>
          </w:tcPr>
          <w:p w14:paraId="43E60B6F" w14:textId="77777777" w:rsidR="00B72F13" w:rsidRPr="006D76CD" w:rsidRDefault="00B72F13" w:rsidP="008D0133">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tcPr>
          <w:p w14:paraId="43E60B70" w14:textId="77777777" w:rsidR="00B72F13" w:rsidRPr="006D76CD" w:rsidRDefault="00B72F13" w:rsidP="008D0133">
            <w:r w:rsidRPr="006D76CD">
              <w:t>2 174</w:t>
            </w:r>
          </w:p>
        </w:tc>
      </w:tr>
    </w:tbl>
    <w:p w14:paraId="43E60B72" w14:textId="77777777" w:rsidR="00B72F13" w:rsidRPr="006D76CD" w:rsidRDefault="00B72F13" w:rsidP="00B72F13">
      <w:pPr>
        <w:pStyle w:val="CIAEtablespace"/>
      </w:pPr>
    </w:p>
    <w:tbl>
      <w:tblPr>
        <w:tblStyle w:val="Generaldata"/>
        <w:tblW w:w="4873" w:type="dxa"/>
        <w:tblLook w:val="05E0" w:firstRow="1" w:lastRow="1" w:firstColumn="1" w:lastColumn="1" w:noHBand="0" w:noVBand="1"/>
      </w:tblPr>
      <w:tblGrid>
        <w:gridCol w:w="2721"/>
        <w:gridCol w:w="1019"/>
        <w:gridCol w:w="1133"/>
      </w:tblGrid>
      <w:tr w:rsidR="00B72F13" w:rsidRPr="006D76CD" w14:paraId="43E60B76" w14:textId="77777777" w:rsidTr="00ED51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73" w14:textId="77777777" w:rsidR="00B72F13" w:rsidRPr="006D76CD" w:rsidRDefault="00B72F13" w:rsidP="008D0133">
            <w:r w:rsidRPr="006D76CD">
              <w:t>Primary energy production</w:t>
            </w:r>
          </w:p>
        </w:tc>
        <w:tc>
          <w:tcPr>
            <w:tcW w:w="1019" w:type="dxa"/>
          </w:tcPr>
          <w:p w14:paraId="43E60B74" w14:textId="77777777" w:rsidR="00B72F13" w:rsidRPr="006D76CD" w:rsidRDefault="00B72F13" w:rsidP="008D013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3" w:type="dxa"/>
          </w:tcPr>
          <w:p w14:paraId="43E60B75" w14:textId="77777777" w:rsidR="00B72F13" w:rsidRPr="006D76CD" w:rsidRDefault="00B72F13" w:rsidP="008D0133">
            <w:r w:rsidRPr="006D76CD">
              <w:t>2018</w:t>
            </w:r>
          </w:p>
        </w:tc>
      </w:tr>
      <w:tr w:rsidR="00B72F13" w:rsidRPr="006D76CD" w14:paraId="43E60B7A" w14:textId="77777777" w:rsidTr="00ED51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77" w14:textId="77777777" w:rsidR="00B72F13" w:rsidRPr="006D76CD" w:rsidRDefault="00B72F13" w:rsidP="008D0133">
            <w:r w:rsidRPr="006D76CD">
              <w:t>Total primary energy production*</w:t>
            </w:r>
          </w:p>
        </w:tc>
        <w:tc>
          <w:tcPr>
            <w:tcW w:w="1019" w:type="dxa"/>
          </w:tcPr>
          <w:p w14:paraId="43E60B78" w14:textId="77777777" w:rsidR="00B72F13" w:rsidRPr="006D76CD" w:rsidRDefault="00B72F13" w:rsidP="008D0133">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0B79" w14:textId="77777777" w:rsidR="00B72F13" w:rsidRPr="006D76CD" w:rsidRDefault="00B72F13" w:rsidP="008D0133">
            <w:r w:rsidRPr="006D76CD">
              <w:t>16.8</w:t>
            </w:r>
          </w:p>
        </w:tc>
      </w:tr>
      <w:tr w:rsidR="00B72F13" w:rsidRPr="006D76CD" w14:paraId="43E60B7E" w14:textId="77777777" w:rsidTr="00ED510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7B" w14:textId="77777777" w:rsidR="00B72F13" w:rsidRPr="006D76CD" w:rsidRDefault="00B72F13" w:rsidP="008D0133">
            <w:r w:rsidRPr="006D76CD">
              <w:t>Brown coal and lignite (saleable)</w:t>
            </w:r>
          </w:p>
        </w:tc>
        <w:tc>
          <w:tcPr>
            <w:tcW w:w="1019" w:type="dxa"/>
          </w:tcPr>
          <w:p w14:paraId="43E60B7C" w14:textId="77777777" w:rsidR="00B72F13" w:rsidRPr="006D76CD" w:rsidRDefault="00B72F13" w:rsidP="008D0133">
            <w:pPr>
              <w:cnfStyle w:val="010000000000" w:firstRow="0" w:lastRow="1" w:firstColumn="0" w:lastColumn="0" w:oddVBand="0" w:evenVBand="0" w:oddHBand="0" w:evenHBand="0" w:firstRowFirstColumn="0" w:firstRowLastColumn="0" w:lastRowFirstColumn="0" w:lastRowLastColumn="0"/>
            </w:pPr>
            <w:r w:rsidRPr="006D76CD">
              <w:t xml:space="preserve">Mt / </w:t>
            </w: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3" w:type="dxa"/>
          </w:tcPr>
          <w:p w14:paraId="43E60B7D" w14:textId="77777777" w:rsidR="00B72F13" w:rsidRPr="006D76CD" w:rsidRDefault="00B72F13" w:rsidP="008D0133">
            <w:r w:rsidRPr="006D76CD">
              <w:t>30.3 / 7.2</w:t>
            </w:r>
          </w:p>
        </w:tc>
      </w:tr>
    </w:tbl>
    <w:p w14:paraId="43E60B7F" w14:textId="77777777" w:rsidR="00B72F13" w:rsidRPr="006D76CD" w:rsidRDefault="00B72F13" w:rsidP="00B72F13">
      <w:pPr>
        <w:pStyle w:val="CIAEtablespace"/>
      </w:pPr>
    </w:p>
    <w:tbl>
      <w:tblPr>
        <w:tblStyle w:val="Generaldata"/>
        <w:tblW w:w="4875" w:type="dxa"/>
        <w:tblLook w:val="05E0" w:firstRow="1" w:lastRow="1" w:firstColumn="1" w:lastColumn="1" w:noHBand="0" w:noVBand="1"/>
      </w:tblPr>
      <w:tblGrid>
        <w:gridCol w:w="2721"/>
        <w:gridCol w:w="1020"/>
        <w:gridCol w:w="1134"/>
      </w:tblGrid>
      <w:tr w:rsidR="00B72F13" w:rsidRPr="006D76CD" w14:paraId="43E60B83" w14:textId="77777777" w:rsidTr="008D0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80" w14:textId="77777777" w:rsidR="00B72F13" w:rsidRPr="006D76CD" w:rsidRDefault="00B72F13" w:rsidP="008D0133">
            <w:r w:rsidRPr="006D76CD">
              <w:t>Saleable coal quality</w:t>
            </w:r>
          </w:p>
        </w:tc>
        <w:tc>
          <w:tcPr>
            <w:tcW w:w="1020" w:type="dxa"/>
          </w:tcPr>
          <w:p w14:paraId="43E60B81" w14:textId="77777777" w:rsidR="00B72F13" w:rsidRPr="006D76CD" w:rsidRDefault="00B72F13" w:rsidP="008D013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B82" w14:textId="77777777" w:rsidR="00B72F13" w:rsidRPr="006D76CD" w:rsidRDefault="00B72F13" w:rsidP="008D0133"/>
        </w:tc>
      </w:tr>
      <w:tr w:rsidR="00B72F13" w:rsidRPr="006D76CD" w14:paraId="43E60B87" w14:textId="77777777" w:rsidTr="008D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84" w14:textId="77777777" w:rsidR="00B72F13" w:rsidRPr="006D76CD" w:rsidRDefault="00B72F13" w:rsidP="008D0133">
            <w:r w:rsidRPr="006D76CD">
              <w:t>Brown coal calorific value</w:t>
            </w:r>
          </w:p>
        </w:tc>
        <w:tc>
          <w:tcPr>
            <w:tcW w:w="1020" w:type="dxa"/>
          </w:tcPr>
          <w:p w14:paraId="43E60B85" w14:textId="77777777" w:rsidR="00B72F13" w:rsidRPr="006D76CD" w:rsidRDefault="00B72F13" w:rsidP="008D0133">
            <w:pPr>
              <w:cnfStyle w:val="000000100000" w:firstRow="0" w:lastRow="0" w:firstColumn="0" w:lastColumn="0" w:oddVBand="0" w:evenVBand="0" w:oddHBand="1" w:evenHBand="0" w:firstRowFirstColumn="0" w:firstRowLastColumn="0" w:lastRowFirstColumn="0" w:lastRowLastColumn="0"/>
            </w:pPr>
            <w:r w:rsidRPr="006D76CD">
              <w:t>kJ/kg</w:t>
            </w:r>
          </w:p>
        </w:tc>
        <w:tc>
          <w:tcPr>
            <w:cnfStyle w:val="000100000000" w:firstRow="0" w:lastRow="0" w:firstColumn="0" w:lastColumn="1" w:oddVBand="0" w:evenVBand="0" w:oddHBand="0" w:evenHBand="0" w:firstRowFirstColumn="0" w:firstRowLastColumn="0" w:lastRowFirstColumn="0" w:lastRowLastColumn="0"/>
            <w:tcW w:w="1134" w:type="dxa"/>
          </w:tcPr>
          <w:p w14:paraId="43E60B86" w14:textId="77777777" w:rsidR="00B72F13" w:rsidRPr="006D76CD" w:rsidRDefault="00B72F13" w:rsidP="008D0133">
            <w:r w:rsidRPr="006D76CD">
              <w:t>12 140</w:t>
            </w:r>
            <w:r w:rsidRPr="006D76CD">
              <w:noBreakHyphen/>
              <w:t>13 400</w:t>
            </w:r>
          </w:p>
        </w:tc>
      </w:tr>
      <w:tr w:rsidR="00B72F13" w:rsidRPr="006D76CD" w14:paraId="43E60B8B" w14:textId="77777777" w:rsidTr="008D0133">
        <w:tc>
          <w:tcPr>
            <w:cnfStyle w:val="001000000000" w:firstRow="0" w:lastRow="0" w:firstColumn="1" w:lastColumn="0" w:oddVBand="0" w:evenVBand="0" w:oddHBand="0" w:evenHBand="0" w:firstRowFirstColumn="0" w:firstRowLastColumn="0" w:lastRowFirstColumn="0" w:lastRowLastColumn="0"/>
            <w:tcW w:w="2721" w:type="dxa"/>
          </w:tcPr>
          <w:p w14:paraId="43E60B88" w14:textId="77777777" w:rsidR="00B72F13" w:rsidRPr="006D76CD" w:rsidRDefault="00B72F13" w:rsidP="008D0133">
            <w:r w:rsidRPr="006D76CD">
              <w:t>Lignite calorific value</w:t>
            </w:r>
          </w:p>
        </w:tc>
        <w:tc>
          <w:tcPr>
            <w:tcW w:w="1020" w:type="dxa"/>
          </w:tcPr>
          <w:p w14:paraId="43E60B89" w14:textId="77777777" w:rsidR="00B72F13" w:rsidRPr="006D76CD" w:rsidRDefault="00B72F13" w:rsidP="008D0133">
            <w:pPr>
              <w:cnfStyle w:val="000000000000" w:firstRow="0" w:lastRow="0" w:firstColumn="0" w:lastColumn="0" w:oddVBand="0" w:evenVBand="0" w:oddHBand="0" w:evenHBand="0" w:firstRowFirstColumn="0" w:firstRowLastColumn="0" w:lastRowFirstColumn="0" w:lastRowLastColumn="0"/>
            </w:pPr>
            <w:r w:rsidRPr="006D76CD">
              <w:t>kJ/kg</w:t>
            </w:r>
          </w:p>
        </w:tc>
        <w:tc>
          <w:tcPr>
            <w:cnfStyle w:val="000100000000" w:firstRow="0" w:lastRow="0" w:firstColumn="0" w:lastColumn="1" w:oddVBand="0" w:evenVBand="0" w:oddHBand="0" w:evenHBand="0" w:firstRowFirstColumn="0" w:firstRowLastColumn="0" w:lastRowFirstColumn="0" w:lastRowLastColumn="0"/>
            <w:tcW w:w="1134" w:type="dxa"/>
          </w:tcPr>
          <w:p w14:paraId="43E60B8A" w14:textId="77777777" w:rsidR="00B72F13" w:rsidRPr="006D76CD" w:rsidRDefault="00B72F13" w:rsidP="008D0133">
            <w:r w:rsidRPr="006D76CD">
              <w:t>5 652</w:t>
            </w:r>
            <w:r w:rsidRPr="006D76CD">
              <w:noBreakHyphen/>
              <w:t xml:space="preserve">7 746 </w:t>
            </w:r>
          </w:p>
        </w:tc>
      </w:tr>
      <w:tr w:rsidR="00B72F13" w:rsidRPr="006D76CD" w14:paraId="43E60B8F" w14:textId="77777777" w:rsidTr="008D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8C" w14:textId="77777777" w:rsidR="00B72F13" w:rsidRPr="006D76CD" w:rsidRDefault="00B72F13" w:rsidP="008D0133">
            <w:r w:rsidRPr="006D76CD">
              <w:t>Brown coal ash content</w:t>
            </w:r>
          </w:p>
        </w:tc>
        <w:tc>
          <w:tcPr>
            <w:tcW w:w="1020" w:type="dxa"/>
          </w:tcPr>
          <w:p w14:paraId="43E60B8D" w14:textId="77777777" w:rsidR="00B72F13" w:rsidRPr="006D76CD" w:rsidRDefault="00B72F13" w:rsidP="008D0133">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B8E" w14:textId="77777777" w:rsidR="00B72F13" w:rsidRPr="006D76CD" w:rsidRDefault="00B72F13" w:rsidP="008D0133">
            <w:r w:rsidRPr="006D76CD">
              <w:t>&lt;26</w:t>
            </w:r>
          </w:p>
        </w:tc>
      </w:tr>
      <w:tr w:rsidR="00B72F13" w:rsidRPr="006D76CD" w14:paraId="43E60B93" w14:textId="77777777" w:rsidTr="008D0133">
        <w:tc>
          <w:tcPr>
            <w:cnfStyle w:val="001000000000" w:firstRow="0" w:lastRow="0" w:firstColumn="1" w:lastColumn="0" w:oddVBand="0" w:evenVBand="0" w:oddHBand="0" w:evenHBand="0" w:firstRowFirstColumn="0" w:firstRowLastColumn="0" w:lastRowFirstColumn="0" w:lastRowLastColumn="0"/>
            <w:tcW w:w="2721" w:type="dxa"/>
          </w:tcPr>
          <w:p w14:paraId="43E60B90" w14:textId="77777777" w:rsidR="00B72F13" w:rsidRPr="006D76CD" w:rsidRDefault="00B72F13" w:rsidP="008D0133">
            <w:r w:rsidRPr="006D76CD">
              <w:t>Lignite ash content</w:t>
            </w:r>
          </w:p>
        </w:tc>
        <w:tc>
          <w:tcPr>
            <w:tcW w:w="1020" w:type="dxa"/>
          </w:tcPr>
          <w:p w14:paraId="43E60B91" w14:textId="77777777" w:rsidR="00B72F13" w:rsidRPr="006D76CD" w:rsidRDefault="00B72F13" w:rsidP="008D0133">
            <w:pPr>
              <w:cnfStyle w:val="000000000000" w:firstRow="0" w:lastRow="0"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B92" w14:textId="77777777" w:rsidR="00B72F13" w:rsidRPr="006D76CD" w:rsidRDefault="00B72F13" w:rsidP="008D0133">
            <w:r w:rsidRPr="006D76CD">
              <w:t>17</w:t>
            </w:r>
            <w:r w:rsidRPr="006D76CD">
              <w:noBreakHyphen/>
              <w:t>45</w:t>
            </w:r>
          </w:p>
        </w:tc>
      </w:tr>
      <w:tr w:rsidR="00B72F13" w:rsidRPr="006D76CD" w14:paraId="43E60B97" w14:textId="77777777" w:rsidTr="008D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94" w14:textId="77777777" w:rsidR="00B72F13" w:rsidRPr="006D76CD" w:rsidRDefault="00B72F13" w:rsidP="008D0133">
            <w:r w:rsidRPr="006D76CD">
              <w:t>Brown coal moisture content</w:t>
            </w:r>
          </w:p>
        </w:tc>
        <w:tc>
          <w:tcPr>
            <w:tcW w:w="1020" w:type="dxa"/>
          </w:tcPr>
          <w:p w14:paraId="43E60B95" w14:textId="77777777" w:rsidR="00B72F13" w:rsidRPr="006D76CD" w:rsidRDefault="00B72F13" w:rsidP="008D0133">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B96" w14:textId="77777777" w:rsidR="00B72F13" w:rsidRPr="006D76CD" w:rsidRDefault="00B72F13" w:rsidP="008D0133">
            <w:r w:rsidRPr="006D76CD">
              <w:t>&lt;16</w:t>
            </w:r>
          </w:p>
        </w:tc>
      </w:tr>
      <w:tr w:rsidR="00B72F13" w:rsidRPr="006D76CD" w14:paraId="43E60B9B" w14:textId="77777777" w:rsidTr="008D0133">
        <w:tc>
          <w:tcPr>
            <w:cnfStyle w:val="001000000000" w:firstRow="0" w:lastRow="0" w:firstColumn="1" w:lastColumn="0" w:oddVBand="0" w:evenVBand="0" w:oddHBand="0" w:evenHBand="0" w:firstRowFirstColumn="0" w:firstRowLastColumn="0" w:lastRowFirstColumn="0" w:lastRowLastColumn="0"/>
            <w:tcW w:w="2721" w:type="dxa"/>
          </w:tcPr>
          <w:p w14:paraId="43E60B98" w14:textId="77777777" w:rsidR="00B72F13" w:rsidRPr="006D76CD" w:rsidRDefault="00B72F13" w:rsidP="008D0133">
            <w:r w:rsidRPr="006D76CD">
              <w:t>Lignite moisture content</w:t>
            </w:r>
          </w:p>
        </w:tc>
        <w:tc>
          <w:tcPr>
            <w:tcW w:w="1020" w:type="dxa"/>
          </w:tcPr>
          <w:p w14:paraId="43E60B99" w14:textId="77777777" w:rsidR="00B72F13" w:rsidRPr="006D76CD" w:rsidRDefault="00B72F13" w:rsidP="008D0133">
            <w:pPr>
              <w:cnfStyle w:val="000000000000" w:firstRow="0" w:lastRow="0"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B9A" w14:textId="77777777" w:rsidR="00B72F13" w:rsidRPr="006D76CD" w:rsidRDefault="00B72F13" w:rsidP="008D0133">
            <w:r w:rsidRPr="006D76CD">
              <w:t>51</w:t>
            </w:r>
            <w:r w:rsidRPr="006D76CD">
              <w:noBreakHyphen/>
              <w:t>60</w:t>
            </w:r>
          </w:p>
        </w:tc>
      </w:tr>
      <w:tr w:rsidR="00B72F13" w:rsidRPr="006D76CD" w14:paraId="43E60B9F" w14:textId="77777777" w:rsidTr="008D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9C" w14:textId="77777777" w:rsidR="00B72F13" w:rsidRPr="006D76CD" w:rsidRDefault="00B72F13" w:rsidP="008D0133">
            <w:r w:rsidRPr="006D76CD">
              <w:t>Brown coal sulphur content</w:t>
            </w:r>
          </w:p>
        </w:tc>
        <w:tc>
          <w:tcPr>
            <w:tcW w:w="1020" w:type="dxa"/>
          </w:tcPr>
          <w:p w14:paraId="43E60B9D" w14:textId="77777777" w:rsidR="00B72F13" w:rsidRPr="006D76CD" w:rsidRDefault="00B72F13" w:rsidP="008D0133">
            <w:pPr>
              <w:cnfStyle w:val="000000100000" w:firstRow="0" w:lastRow="0" w:firstColumn="0" w:lastColumn="0" w:oddVBand="0" w:evenVBand="0" w:oddHBand="1"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B9E" w14:textId="77777777" w:rsidR="00B72F13" w:rsidRPr="006D76CD" w:rsidRDefault="00B72F13" w:rsidP="008D0133">
            <w:r w:rsidRPr="006D76CD">
              <w:t>&lt;2.7</w:t>
            </w:r>
          </w:p>
        </w:tc>
      </w:tr>
      <w:tr w:rsidR="00B72F13" w:rsidRPr="006D76CD" w14:paraId="43E60BA3" w14:textId="77777777" w:rsidTr="008D013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A0" w14:textId="77777777" w:rsidR="00B72F13" w:rsidRPr="006D76CD" w:rsidRDefault="00B72F13" w:rsidP="008D0133">
            <w:r w:rsidRPr="006D76CD">
              <w:t>Lignite sulphur content</w:t>
            </w:r>
          </w:p>
        </w:tc>
        <w:tc>
          <w:tcPr>
            <w:tcW w:w="1020" w:type="dxa"/>
          </w:tcPr>
          <w:p w14:paraId="43E60BA1" w14:textId="77777777" w:rsidR="00B72F13" w:rsidRPr="006D76CD" w:rsidRDefault="00B72F13" w:rsidP="008D0133">
            <w:pPr>
              <w:cnfStyle w:val="010000000000" w:firstRow="0" w:lastRow="1" w:firstColumn="0" w:lastColumn="0" w:oddVBand="0" w:evenVBand="0" w:oddHBand="0" w:evenHBand="0" w:firstRowFirstColumn="0" w:firstRowLastColumn="0" w:lastRowFirstColumn="0" w:lastRowLastColumn="0"/>
            </w:pPr>
            <w:r w:rsidRPr="006D76CD">
              <w:t xml:space="preserve">% </w:t>
            </w:r>
            <w:proofErr w:type="spellStart"/>
            <w:r w:rsidRPr="006D76CD">
              <w:t>a.r.</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BA2" w14:textId="77777777" w:rsidR="00B72F13" w:rsidRPr="006D76CD" w:rsidRDefault="00B72F13" w:rsidP="008D0133">
            <w:r w:rsidRPr="006D76CD">
              <w:t>2.2</w:t>
            </w:r>
            <w:r w:rsidRPr="006D76CD">
              <w:noBreakHyphen/>
              <w:t>2.8</w:t>
            </w:r>
          </w:p>
        </w:tc>
      </w:tr>
    </w:tbl>
    <w:p w14:paraId="43E60BA4" w14:textId="77777777" w:rsidR="00B72F13" w:rsidRPr="006D76CD" w:rsidRDefault="00B72F13" w:rsidP="00B72F13">
      <w:pPr>
        <w:pStyle w:val="CIAEtablespace"/>
      </w:pPr>
    </w:p>
    <w:tbl>
      <w:tblPr>
        <w:tblStyle w:val="Generaldata"/>
        <w:tblW w:w="4875" w:type="dxa"/>
        <w:tblLook w:val="05E0" w:firstRow="1" w:lastRow="1" w:firstColumn="1" w:lastColumn="1" w:noHBand="0" w:noVBand="1"/>
      </w:tblPr>
      <w:tblGrid>
        <w:gridCol w:w="2721"/>
        <w:gridCol w:w="1020"/>
        <w:gridCol w:w="1134"/>
      </w:tblGrid>
      <w:tr w:rsidR="00B72F13" w:rsidRPr="006D76CD" w14:paraId="43E60BA8" w14:textId="77777777" w:rsidTr="008D0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A5" w14:textId="77777777" w:rsidR="00B72F13" w:rsidRPr="006D76CD" w:rsidRDefault="00B72F13" w:rsidP="008D0133">
            <w:r w:rsidRPr="006D76CD">
              <w:t>Coal imports / exports</w:t>
            </w:r>
          </w:p>
        </w:tc>
        <w:tc>
          <w:tcPr>
            <w:tcW w:w="1020" w:type="dxa"/>
          </w:tcPr>
          <w:p w14:paraId="43E60BA6" w14:textId="77777777" w:rsidR="00B72F13" w:rsidRPr="006D76CD" w:rsidRDefault="00B72F13" w:rsidP="008D013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BA7" w14:textId="77777777" w:rsidR="00B72F13" w:rsidRPr="006D76CD" w:rsidRDefault="00B72F13" w:rsidP="008D0133">
            <w:r w:rsidRPr="006D76CD">
              <w:t>2018</w:t>
            </w:r>
          </w:p>
        </w:tc>
      </w:tr>
      <w:tr w:rsidR="00B72F13" w:rsidRPr="006D76CD" w14:paraId="43E60BAC" w14:textId="77777777" w:rsidTr="008D013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BA9" w14:textId="77777777" w:rsidR="00B72F13" w:rsidRPr="006D76CD" w:rsidRDefault="00B72F13" w:rsidP="008D0133">
            <w:r w:rsidRPr="006D76CD">
              <w:t>Hard coal imports</w:t>
            </w:r>
          </w:p>
        </w:tc>
        <w:tc>
          <w:tcPr>
            <w:tcW w:w="1020" w:type="dxa"/>
            <w:shd w:val="clear" w:color="auto" w:fill="FFFFFF" w:themeFill="background1"/>
          </w:tcPr>
          <w:p w14:paraId="43E60BAA" w14:textId="77777777" w:rsidR="00B72F13" w:rsidRPr="006D76CD" w:rsidRDefault="00B72F13" w:rsidP="008D0133">
            <w:pPr>
              <w:cnfStyle w:val="010000000000" w:firstRow="0" w:lastRow="1" w:firstColumn="0" w:lastColumn="0" w:oddVBand="0" w:evenVBand="0" w:oddHBand="0" w:evenHBand="0" w:firstRowFirstColumn="0" w:firstRowLastColumn="0" w:lastRowFirstColumn="0" w:lastRowLastColumn="0"/>
            </w:pPr>
            <w:r w:rsidRPr="006D76CD">
              <w:t>Mt</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BAB" w14:textId="77777777" w:rsidR="00B72F13" w:rsidRPr="006D76CD" w:rsidRDefault="00B72F13" w:rsidP="008D0133">
            <w:r w:rsidRPr="006D76CD">
              <w:t>0.8</w:t>
            </w:r>
          </w:p>
        </w:tc>
      </w:tr>
    </w:tbl>
    <w:p w14:paraId="43E60BAD" w14:textId="77777777" w:rsidR="00B72F13" w:rsidRPr="006D76CD" w:rsidRDefault="00B72F13" w:rsidP="00B72F13">
      <w:pPr>
        <w:pStyle w:val="CIAEtablespace"/>
      </w:pPr>
    </w:p>
    <w:tbl>
      <w:tblPr>
        <w:tblStyle w:val="Generaldata"/>
        <w:tblW w:w="4875" w:type="dxa"/>
        <w:tblLook w:val="05E0" w:firstRow="1" w:lastRow="1" w:firstColumn="1" w:lastColumn="1" w:noHBand="0" w:noVBand="1"/>
      </w:tblPr>
      <w:tblGrid>
        <w:gridCol w:w="2721"/>
        <w:gridCol w:w="1020"/>
        <w:gridCol w:w="1134"/>
      </w:tblGrid>
      <w:tr w:rsidR="00B72F13" w:rsidRPr="006D76CD" w14:paraId="43E60BB1" w14:textId="77777777" w:rsidTr="00E76C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AE" w14:textId="77777777" w:rsidR="00B72F13" w:rsidRPr="006D76CD" w:rsidRDefault="00B72F13" w:rsidP="008D0133">
            <w:r w:rsidRPr="006D76CD">
              <w:t>Primary energy consumption</w:t>
            </w:r>
          </w:p>
        </w:tc>
        <w:tc>
          <w:tcPr>
            <w:tcW w:w="1020" w:type="dxa"/>
          </w:tcPr>
          <w:p w14:paraId="43E60BAF" w14:textId="77777777" w:rsidR="00B72F13" w:rsidRPr="006D76CD" w:rsidRDefault="00B72F13" w:rsidP="008D013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BB0" w14:textId="77777777" w:rsidR="00B72F13" w:rsidRPr="006D76CD" w:rsidRDefault="00B72F13" w:rsidP="008D0133">
            <w:r w:rsidRPr="006D76CD">
              <w:t>2017</w:t>
            </w:r>
          </w:p>
        </w:tc>
      </w:tr>
      <w:tr w:rsidR="00B72F13" w:rsidRPr="006D76CD" w14:paraId="43E60BB5" w14:textId="77777777" w:rsidTr="00E76C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B2" w14:textId="77777777" w:rsidR="00B72F13" w:rsidRPr="006D76CD" w:rsidRDefault="00B72F13" w:rsidP="008D0133">
            <w:r w:rsidRPr="006D76CD">
              <w:t>Total primary energy consumption*</w:t>
            </w:r>
          </w:p>
        </w:tc>
        <w:tc>
          <w:tcPr>
            <w:tcW w:w="1020" w:type="dxa"/>
          </w:tcPr>
          <w:p w14:paraId="43E60BB3" w14:textId="77777777" w:rsidR="00B72F13" w:rsidRPr="006D76CD" w:rsidRDefault="00B72F13" w:rsidP="008D0133">
            <w:pPr>
              <w:cnfStyle w:val="000000100000" w:firstRow="0" w:lastRow="0" w:firstColumn="0" w:lastColumn="0" w:oddVBand="0" w:evenVBand="0" w:oddHBand="1"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BB4" w14:textId="77777777" w:rsidR="00B72F13" w:rsidRPr="006D76CD" w:rsidRDefault="00B72F13" w:rsidP="008D0133">
            <w:r w:rsidRPr="006D76CD">
              <w:t>26.8</w:t>
            </w:r>
          </w:p>
        </w:tc>
      </w:tr>
      <w:tr w:rsidR="00B72F13" w:rsidRPr="006D76CD" w14:paraId="43E60BB9" w14:textId="77777777" w:rsidTr="00E76CF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B6" w14:textId="77777777" w:rsidR="00B72F13" w:rsidRPr="006D76CD" w:rsidRDefault="00B72F13" w:rsidP="008D0133">
            <w:r w:rsidRPr="006D76CD">
              <w:t>Coal consumption</w:t>
            </w:r>
          </w:p>
        </w:tc>
        <w:tc>
          <w:tcPr>
            <w:tcW w:w="1020" w:type="dxa"/>
          </w:tcPr>
          <w:p w14:paraId="43E60BB7" w14:textId="77777777" w:rsidR="00B72F13" w:rsidRPr="006D76CD" w:rsidRDefault="00B72F13" w:rsidP="008D0133">
            <w:pPr>
              <w:cnfStyle w:val="010000000000" w:firstRow="0" w:lastRow="1" w:firstColumn="0" w:lastColumn="0" w:oddVBand="0" w:evenVBand="0" w:oddHBand="0" w:evenHBand="0" w:firstRowFirstColumn="0" w:firstRowLastColumn="0" w:lastRowFirstColumn="0" w:lastRowLastColumn="0"/>
            </w:pPr>
            <w:proofErr w:type="spellStart"/>
            <w:r w:rsidRPr="006D76CD">
              <w:t>Mtce</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BB8" w14:textId="77777777" w:rsidR="00B72F13" w:rsidRPr="006D76CD" w:rsidRDefault="00B72F13" w:rsidP="008D0133">
            <w:r w:rsidRPr="006D76CD">
              <w:t>8.8</w:t>
            </w:r>
          </w:p>
        </w:tc>
      </w:tr>
    </w:tbl>
    <w:p w14:paraId="43E60BBA" w14:textId="77777777" w:rsidR="00B72F13" w:rsidRPr="006D76CD" w:rsidRDefault="00B72F13" w:rsidP="00B72F13">
      <w:pPr>
        <w:pStyle w:val="CIAEtablespace"/>
      </w:pPr>
    </w:p>
    <w:tbl>
      <w:tblPr>
        <w:tblStyle w:val="Generaldata"/>
        <w:tblW w:w="4875" w:type="dxa"/>
        <w:tblLook w:val="05E0" w:firstRow="1" w:lastRow="1" w:firstColumn="1" w:lastColumn="1" w:noHBand="0" w:noVBand="1"/>
      </w:tblPr>
      <w:tblGrid>
        <w:gridCol w:w="2721"/>
        <w:gridCol w:w="1020"/>
        <w:gridCol w:w="1134"/>
      </w:tblGrid>
      <w:tr w:rsidR="00B72F13" w:rsidRPr="006D76CD" w14:paraId="43E60BBE" w14:textId="77777777" w:rsidTr="008D0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BB" w14:textId="77777777" w:rsidR="00B72F13" w:rsidRPr="006D76CD" w:rsidRDefault="00B72F13" w:rsidP="008D0133">
            <w:r w:rsidRPr="006D76CD">
              <w:t>Power supply</w:t>
            </w:r>
          </w:p>
        </w:tc>
        <w:tc>
          <w:tcPr>
            <w:tcW w:w="1020" w:type="dxa"/>
          </w:tcPr>
          <w:p w14:paraId="43E60BBC" w14:textId="77777777" w:rsidR="00B72F13" w:rsidRPr="006D76CD" w:rsidRDefault="00B72F13" w:rsidP="008D013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BBD" w14:textId="77777777" w:rsidR="00B72F13" w:rsidRPr="006D76CD" w:rsidRDefault="00B72F13" w:rsidP="008D0133">
            <w:r w:rsidRPr="006D76CD">
              <w:t>2017</w:t>
            </w:r>
          </w:p>
        </w:tc>
      </w:tr>
      <w:tr w:rsidR="00B72F13" w:rsidRPr="006D76CD" w14:paraId="43E60BC2" w14:textId="77777777" w:rsidTr="008D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BF" w14:textId="77777777" w:rsidR="00B72F13" w:rsidRPr="006D76CD" w:rsidRDefault="00B72F13" w:rsidP="008D0133">
            <w:r w:rsidRPr="006D76CD">
              <w:t>Total gross power generation</w:t>
            </w:r>
          </w:p>
        </w:tc>
        <w:tc>
          <w:tcPr>
            <w:tcW w:w="1020" w:type="dxa"/>
          </w:tcPr>
          <w:p w14:paraId="43E60BC0" w14:textId="77777777" w:rsidR="00B72F13" w:rsidRPr="006D76CD" w:rsidRDefault="00B72F13" w:rsidP="008D0133">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BC1" w14:textId="77777777" w:rsidR="00B72F13" w:rsidRPr="006D76CD" w:rsidRDefault="00B72F13" w:rsidP="008D0133">
            <w:r w:rsidRPr="006D76CD">
              <w:t>45.6</w:t>
            </w:r>
          </w:p>
        </w:tc>
      </w:tr>
      <w:tr w:rsidR="00B72F13" w:rsidRPr="006D76CD" w14:paraId="43E60BC6" w14:textId="77777777" w:rsidTr="008D0133">
        <w:tc>
          <w:tcPr>
            <w:cnfStyle w:val="001000000000" w:firstRow="0" w:lastRow="0" w:firstColumn="1" w:lastColumn="0" w:oddVBand="0" w:evenVBand="0" w:oddHBand="0" w:evenHBand="0" w:firstRowFirstColumn="0" w:firstRowLastColumn="0" w:lastRowFirstColumn="0" w:lastRowLastColumn="0"/>
            <w:tcW w:w="2721" w:type="dxa"/>
          </w:tcPr>
          <w:p w14:paraId="43E60BC3" w14:textId="77777777" w:rsidR="00B72F13" w:rsidRPr="006D76CD" w:rsidRDefault="00B72F13" w:rsidP="008D0133">
            <w:r w:rsidRPr="006D76CD">
              <w:t>Net power imports (exports)</w:t>
            </w:r>
          </w:p>
        </w:tc>
        <w:tc>
          <w:tcPr>
            <w:tcW w:w="1020" w:type="dxa"/>
          </w:tcPr>
          <w:p w14:paraId="43E60BC4" w14:textId="77777777" w:rsidR="00B72F13" w:rsidRPr="006D76CD" w:rsidRDefault="00B72F13" w:rsidP="008D0133">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BC5" w14:textId="77777777" w:rsidR="00B72F13" w:rsidRPr="006D76CD" w:rsidRDefault="00B72F13" w:rsidP="008D0133">
            <w:r w:rsidRPr="006D76CD">
              <w:t>(5.5)</w:t>
            </w:r>
          </w:p>
        </w:tc>
      </w:tr>
      <w:tr w:rsidR="00B72F13" w:rsidRPr="006D76CD" w14:paraId="43E60BCA" w14:textId="77777777" w:rsidTr="008D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C7" w14:textId="77777777" w:rsidR="00B72F13" w:rsidRPr="006D76CD" w:rsidRDefault="00B72F13" w:rsidP="008D0133">
            <w:r w:rsidRPr="006D76CD">
              <w:t>Total power consumption</w:t>
            </w:r>
          </w:p>
        </w:tc>
        <w:tc>
          <w:tcPr>
            <w:tcW w:w="1020" w:type="dxa"/>
          </w:tcPr>
          <w:p w14:paraId="43E60BC8" w14:textId="77777777" w:rsidR="00B72F13" w:rsidRPr="006D76CD" w:rsidRDefault="00B72F13" w:rsidP="008D0133">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BC9" w14:textId="77777777" w:rsidR="00B72F13" w:rsidRPr="006D76CD" w:rsidRDefault="00B72F13" w:rsidP="008D0133">
            <w:r w:rsidRPr="006D76CD">
              <w:t>30.0</w:t>
            </w:r>
          </w:p>
        </w:tc>
      </w:tr>
      <w:tr w:rsidR="00B72F13" w:rsidRPr="006D76CD" w14:paraId="43E60BCE" w14:textId="77777777" w:rsidTr="008D0133">
        <w:tc>
          <w:tcPr>
            <w:cnfStyle w:val="001000000000" w:firstRow="0" w:lastRow="0" w:firstColumn="1" w:lastColumn="0" w:oddVBand="0" w:evenVBand="0" w:oddHBand="0" w:evenHBand="0" w:firstRowFirstColumn="0" w:firstRowLastColumn="0" w:lastRowFirstColumn="0" w:lastRowLastColumn="0"/>
            <w:tcW w:w="2721" w:type="dxa"/>
          </w:tcPr>
          <w:p w14:paraId="43E60BCB" w14:textId="77777777" w:rsidR="00B72F13" w:rsidRPr="006D76CD" w:rsidRDefault="00B72F13" w:rsidP="008D0133">
            <w:r w:rsidRPr="006D76CD">
              <w:t>Power generation from lignite</w:t>
            </w:r>
          </w:p>
        </w:tc>
        <w:tc>
          <w:tcPr>
            <w:tcW w:w="1020" w:type="dxa"/>
          </w:tcPr>
          <w:p w14:paraId="43E60BCC" w14:textId="77777777" w:rsidR="00B72F13" w:rsidRPr="006D76CD" w:rsidRDefault="00B72F13" w:rsidP="008D0133">
            <w:pPr>
              <w:cnfStyle w:val="000000000000" w:firstRow="0" w:lastRow="0" w:firstColumn="0" w:lastColumn="0" w:oddVBand="0" w:evenVBand="0" w:oddHBand="0"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BCD" w14:textId="77777777" w:rsidR="00B72F13" w:rsidRPr="006D76CD" w:rsidRDefault="00B72F13" w:rsidP="008D0133">
            <w:r w:rsidRPr="006D76CD">
              <w:t>19.6</w:t>
            </w:r>
          </w:p>
        </w:tc>
      </w:tr>
      <w:tr w:rsidR="00B72F13" w:rsidRPr="006D76CD" w14:paraId="43E60BD2" w14:textId="77777777" w:rsidTr="008D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CF" w14:textId="77777777" w:rsidR="00B72F13" w:rsidRPr="006D76CD" w:rsidRDefault="00B72F13" w:rsidP="008D0133">
            <w:r w:rsidRPr="006D76CD">
              <w:t>Power generation from hard coal</w:t>
            </w:r>
          </w:p>
        </w:tc>
        <w:tc>
          <w:tcPr>
            <w:tcW w:w="1020" w:type="dxa"/>
          </w:tcPr>
          <w:p w14:paraId="43E60BD0" w14:textId="77777777" w:rsidR="00B72F13" w:rsidRPr="006D76CD" w:rsidRDefault="00B72F13" w:rsidP="008D0133">
            <w:pPr>
              <w:cnfStyle w:val="000000100000" w:firstRow="0" w:lastRow="0" w:firstColumn="0" w:lastColumn="0" w:oddVBand="0" w:evenVBand="0" w:oddHBand="1" w:evenHBand="0" w:firstRowFirstColumn="0" w:firstRowLastColumn="0" w:lastRowFirstColumn="0" w:lastRowLastColumn="0"/>
            </w:pPr>
            <w:proofErr w:type="spellStart"/>
            <w:r w:rsidRPr="006D76CD">
              <w:t>TWh</w:t>
            </w:r>
            <w:proofErr w:type="spellEnd"/>
          </w:p>
        </w:tc>
        <w:tc>
          <w:tcPr>
            <w:cnfStyle w:val="000100000000" w:firstRow="0" w:lastRow="0" w:firstColumn="0" w:lastColumn="1" w:oddVBand="0" w:evenVBand="0" w:oddHBand="0" w:evenHBand="0" w:firstRowFirstColumn="0" w:firstRowLastColumn="0" w:lastRowFirstColumn="0" w:lastRowLastColumn="0"/>
            <w:tcW w:w="1134" w:type="dxa"/>
          </w:tcPr>
          <w:p w14:paraId="43E60BD1" w14:textId="77777777" w:rsidR="00B72F13" w:rsidRPr="006D76CD" w:rsidRDefault="00B72F13" w:rsidP="008D0133">
            <w:r w:rsidRPr="006D76CD">
              <w:t>1.3</w:t>
            </w:r>
          </w:p>
        </w:tc>
      </w:tr>
      <w:tr w:rsidR="00B72F13" w:rsidRPr="006D76CD" w14:paraId="43E60BD6" w14:textId="77777777" w:rsidTr="008D0133">
        <w:tc>
          <w:tcPr>
            <w:cnfStyle w:val="001000000000" w:firstRow="0" w:lastRow="0" w:firstColumn="1" w:lastColumn="0" w:oddVBand="0" w:evenVBand="0" w:oddHBand="0" w:evenHBand="0" w:firstRowFirstColumn="0" w:firstRowLastColumn="0" w:lastRowFirstColumn="0" w:lastRowLastColumn="0"/>
            <w:tcW w:w="2721" w:type="dxa"/>
            <w:shd w:val="clear" w:color="auto" w:fill="auto"/>
          </w:tcPr>
          <w:p w14:paraId="43E60BD3" w14:textId="77777777" w:rsidR="00B72F13" w:rsidRPr="006D76CD" w:rsidRDefault="00B72F13" w:rsidP="008D0133">
            <w:r w:rsidRPr="006D76CD">
              <w:t>Lignite and brown coal power generation capacity</w:t>
            </w:r>
          </w:p>
        </w:tc>
        <w:tc>
          <w:tcPr>
            <w:tcW w:w="1020" w:type="dxa"/>
            <w:shd w:val="clear" w:color="auto" w:fill="auto"/>
          </w:tcPr>
          <w:p w14:paraId="43E60BD4" w14:textId="77777777" w:rsidR="00B72F13" w:rsidRPr="006D76CD" w:rsidRDefault="00B72F13" w:rsidP="008D0133">
            <w:pPr>
              <w:cnfStyle w:val="000000000000" w:firstRow="0" w:lastRow="0" w:firstColumn="0" w:lastColumn="0" w:oddVBand="0" w:evenVBand="0" w:oddHBand="0" w:evenHBand="0" w:firstRowFirstColumn="0" w:firstRowLastColumn="0" w:lastRowFirstColumn="0" w:lastRowLastColumn="0"/>
            </w:pPr>
            <w:r w:rsidRPr="006D76CD">
              <w:t>MW</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tcPr>
          <w:p w14:paraId="43E60BD5" w14:textId="77777777" w:rsidR="00B72F13" w:rsidRPr="006D76CD" w:rsidRDefault="00B72F13" w:rsidP="008D0133">
            <w:r w:rsidRPr="006D76CD">
              <w:t>3 558</w:t>
            </w:r>
          </w:p>
        </w:tc>
      </w:tr>
      <w:tr w:rsidR="00B72F13" w:rsidRPr="006D76CD" w14:paraId="43E60BDA" w14:textId="77777777" w:rsidTr="008D013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shd w:val="clear" w:color="auto" w:fill="FFFFFF" w:themeFill="background1"/>
          </w:tcPr>
          <w:p w14:paraId="43E60BD7" w14:textId="77777777" w:rsidR="00B72F13" w:rsidRPr="006D76CD" w:rsidRDefault="00B72F13" w:rsidP="008D0133">
            <w:r w:rsidRPr="006D76CD">
              <w:t>Hard coal generation capacity</w:t>
            </w:r>
          </w:p>
        </w:tc>
        <w:tc>
          <w:tcPr>
            <w:tcW w:w="1020" w:type="dxa"/>
            <w:shd w:val="clear" w:color="auto" w:fill="FFFFFF" w:themeFill="background1"/>
          </w:tcPr>
          <w:p w14:paraId="43E60BD8" w14:textId="77777777" w:rsidR="00B72F13" w:rsidRPr="006D76CD" w:rsidRDefault="00B72F13" w:rsidP="008D0133">
            <w:pPr>
              <w:cnfStyle w:val="010000000000" w:firstRow="0" w:lastRow="1" w:firstColumn="0" w:lastColumn="0" w:oddVBand="0" w:evenVBand="0" w:oddHBand="0" w:evenHBand="0" w:firstRowFirstColumn="0" w:firstRowLastColumn="0" w:lastRowFirstColumn="0" w:lastRowLastColumn="0"/>
            </w:pPr>
            <w:r w:rsidRPr="006D76CD">
              <w:t>MW</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FFFFFF" w:themeFill="background1"/>
          </w:tcPr>
          <w:p w14:paraId="43E60BD9" w14:textId="77777777" w:rsidR="00B72F13" w:rsidRPr="006D76CD" w:rsidDel="00346673" w:rsidRDefault="00B72F13" w:rsidP="008D0133">
            <w:r w:rsidRPr="006D76CD">
              <w:t>175</w:t>
            </w:r>
          </w:p>
        </w:tc>
      </w:tr>
    </w:tbl>
    <w:p w14:paraId="43E60BDB" w14:textId="77777777" w:rsidR="00B72F13" w:rsidRPr="006D76CD" w:rsidRDefault="00B72F13" w:rsidP="00B72F13">
      <w:pPr>
        <w:pStyle w:val="CIAEtablespace"/>
      </w:pPr>
    </w:p>
    <w:tbl>
      <w:tblPr>
        <w:tblStyle w:val="Generaldata"/>
        <w:tblW w:w="4875" w:type="dxa"/>
        <w:tblLook w:val="05E0" w:firstRow="1" w:lastRow="1" w:firstColumn="1" w:lastColumn="1" w:noHBand="0" w:noVBand="1"/>
      </w:tblPr>
      <w:tblGrid>
        <w:gridCol w:w="2721"/>
        <w:gridCol w:w="1020"/>
        <w:gridCol w:w="1134"/>
      </w:tblGrid>
      <w:tr w:rsidR="00B72F13" w:rsidRPr="006D76CD" w14:paraId="43E60BDF" w14:textId="77777777" w:rsidTr="008D01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DC" w14:textId="77777777" w:rsidR="00B72F13" w:rsidRPr="006D76CD" w:rsidRDefault="00B72F13" w:rsidP="008D0133">
            <w:r w:rsidRPr="006D76CD">
              <w:t>Employment</w:t>
            </w:r>
          </w:p>
        </w:tc>
        <w:tc>
          <w:tcPr>
            <w:tcW w:w="1020" w:type="dxa"/>
          </w:tcPr>
          <w:p w14:paraId="43E60BDD" w14:textId="77777777" w:rsidR="00B72F13" w:rsidRPr="006D76CD" w:rsidRDefault="00B72F13" w:rsidP="008D0133">
            <w:pP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1134" w:type="dxa"/>
          </w:tcPr>
          <w:p w14:paraId="43E60BDE" w14:textId="77777777" w:rsidR="00B72F13" w:rsidRPr="006D76CD" w:rsidRDefault="00B72F13" w:rsidP="00787C08">
            <w:r w:rsidRPr="006D76CD">
              <w:t>201</w:t>
            </w:r>
            <w:r w:rsidR="00787C08" w:rsidRPr="006D76CD">
              <w:t>8</w:t>
            </w:r>
          </w:p>
        </w:tc>
      </w:tr>
      <w:tr w:rsidR="00B72F13" w:rsidRPr="006D76CD" w14:paraId="43E60BE3" w14:textId="77777777" w:rsidTr="008D01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E0" w14:textId="77777777" w:rsidR="00B72F13" w:rsidRPr="006D76CD" w:rsidRDefault="00B72F13" w:rsidP="008D0133">
            <w:r w:rsidRPr="006D76CD">
              <w:t>Direct in brown coal &amp; lignite mining</w:t>
            </w:r>
          </w:p>
        </w:tc>
        <w:tc>
          <w:tcPr>
            <w:tcW w:w="1020" w:type="dxa"/>
          </w:tcPr>
          <w:p w14:paraId="43E60BE1" w14:textId="77777777" w:rsidR="00B72F13" w:rsidRPr="006D76CD" w:rsidRDefault="00B72F13" w:rsidP="008D0133">
            <w:pPr>
              <w:cnfStyle w:val="000000100000" w:firstRow="0" w:lastRow="0" w:firstColumn="0" w:lastColumn="0" w:oddVBand="0" w:evenVBand="0" w:oddHBand="1"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0BE2" w14:textId="77777777" w:rsidR="00B72F13" w:rsidRPr="006D76CD" w:rsidRDefault="00787C08" w:rsidP="00787C08">
            <w:r w:rsidRPr="006D76CD">
              <w:t>10.294</w:t>
            </w:r>
          </w:p>
        </w:tc>
      </w:tr>
      <w:tr w:rsidR="00B72F13" w:rsidRPr="006D76CD" w14:paraId="43E60BE7" w14:textId="77777777" w:rsidTr="008D0133">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1" w:type="dxa"/>
          </w:tcPr>
          <w:p w14:paraId="43E60BE4" w14:textId="77777777" w:rsidR="00B72F13" w:rsidRPr="006D76CD" w:rsidRDefault="00B72F13" w:rsidP="008D0133">
            <w:r w:rsidRPr="006D76CD">
              <w:t>Other brown coal- &amp; lignite-related**</w:t>
            </w:r>
          </w:p>
        </w:tc>
        <w:tc>
          <w:tcPr>
            <w:tcW w:w="1020" w:type="dxa"/>
          </w:tcPr>
          <w:p w14:paraId="43E60BE5" w14:textId="77777777" w:rsidR="00B72F13" w:rsidRPr="006D76CD" w:rsidRDefault="00B72F13" w:rsidP="008D0133">
            <w:pPr>
              <w:cnfStyle w:val="010000000000" w:firstRow="0" w:lastRow="1" w:firstColumn="0" w:lastColumn="0" w:oddVBand="0" w:evenVBand="0" w:oddHBand="0" w:evenHBand="0" w:firstRowFirstColumn="0" w:firstRowLastColumn="0" w:lastRowFirstColumn="0" w:lastRowLastColumn="0"/>
            </w:pPr>
            <w:r w:rsidRPr="006D76CD">
              <w:t>thousand</w:t>
            </w:r>
          </w:p>
        </w:tc>
        <w:tc>
          <w:tcPr>
            <w:cnfStyle w:val="000100000000" w:firstRow="0" w:lastRow="0" w:firstColumn="0" w:lastColumn="1" w:oddVBand="0" w:evenVBand="0" w:oddHBand="0" w:evenHBand="0" w:firstRowFirstColumn="0" w:firstRowLastColumn="0" w:lastRowFirstColumn="0" w:lastRowLastColumn="0"/>
            <w:tcW w:w="1134" w:type="dxa"/>
          </w:tcPr>
          <w:p w14:paraId="43E60BE6" w14:textId="77777777" w:rsidR="00B72F13" w:rsidRPr="006D76CD" w:rsidRDefault="00787C08" w:rsidP="00787C08">
            <w:r w:rsidRPr="006D76CD">
              <w:t>45.000</w:t>
            </w:r>
          </w:p>
        </w:tc>
      </w:tr>
    </w:tbl>
    <w:p w14:paraId="43E60BE8" w14:textId="77777777" w:rsidR="00B72F13" w:rsidRPr="006D76CD" w:rsidRDefault="00B72F13" w:rsidP="00B72F13">
      <w:pPr>
        <w:pStyle w:val="CIAEtablefootnote"/>
      </w:pPr>
      <w:r w:rsidRPr="006D76CD">
        <w:t>* 2017 data</w:t>
      </w:r>
    </w:p>
    <w:p w14:paraId="43E60BE9" w14:textId="77777777" w:rsidR="00B72F13" w:rsidRPr="006D76CD" w:rsidRDefault="00B72F13" w:rsidP="00B72F13">
      <w:pPr>
        <w:pStyle w:val="CIAEtablefootnote"/>
      </w:pPr>
      <w:r w:rsidRPr="006D76CD">
        <w:t xml:space="preserve">** </w:t>
      </w:r>
      <w:proofErr w:type="gramStart"/>
      <w:r w:rsidRPr="006D76CD">
        <w:rPr>
          <w:i w:val="0"/>
        </w:rPr>
        <w:t>e.g.</w:t>
      </w:r>
      <w:proofErr w:type="gramEnd"/>
      <w:r w:rsidRPr="006D76CD">
        <w:t xml:space="preserve"> in power generation, equipment supply, services and R&amp;D</w:t>
      </w:r>
    </w:p>
    <w:p w14:paraId="43E60BEA" w14:textId="77777777" w:rsidR="00B72F13" w:rsidRPr="006D76CD" w:rsidRDefault="006100DE" w:rsidP="00B72F13">
      <w:pPr>
        <w:pStyle w:val="CIAEtext"/>
      </w:pPr>
      <w:r w:rsidRPr="006100DE">
        <w:t xml:space="preserve">around 0.1 million tonnes, and the </w:t>
      </w:r>
      <w:proofErr w:type="spellStart"/>
      <w:r w:rsidRPr="006100DE">
        <w:t>Cherno</w:t>
      </w:r>
      <w:proofErr w:type="spellEnd"/>
      <w:r w:rsidRPr="006100DE">
        <w:t xml:space="preserve"> More mine in the </w:t>
      </w:r>
      <w:r w:rsidR="00B72F13" w:rsidRPr="006D76CD">
        <w:t>Black Sea coalfield near Burgas, with an annual capacity of 0.25</w:t>
      </w:r>
      <w:r w:rsidR="00B72F13" w:rsidRPr="006D76CD">
        <w:noBreakHyphen/>
        <w:t>0.3 million tonnes.  The latter closed in 2016.</w:t>
      </w:r>
    </w:p>
    <w:p w14:paraId="43E60BEB" w14:textId="77777777" w:rsidR="00B72F13" w:rsidRPr="006D76CD" w:rsidRDefault="00B72F13" w:rsidP="00B72F13">
      <w:pPr>
        <w:pStyle w:val="Heading2"/>
      </w:pPr>
      <w:r w:rsidRPr="006D76CD">
        <w:t>Hard coal</w:t>
      </w:r>
    </w:p>
    <w:p w14:paraId="43E60BEC" w14:textId="77777777" w:rsidR="006100DE" w:rsidRPr="003921E2" w:rsidRDefault="00B72F13" w:rsidP="003921E2">
      <w:pPr>
        <w:pStyle w:val="CIAEtext"/>
      </w:pPr>
      <w:r w:rsidRPr="003921E2">
        <w:t xml:space="preserve">Hard coal </w:t>
      </w:r>
      <w:r w:rsidR="003C0CE3">
        <w:t xml:space="preserve">production </w:t>
      </w:r>
      <w:r w:rsidRPr="003921E2">
        <w:t>is not significant (</w:t>
      </w:r>
      <w:r w:rsidR="002858E2" w:rsidRPr="00041451">
        <w:rPr>
          <w:i/>
        </w:rPr>
        <w:t>c.</w:t>
      </w:r>
      <w:r w:rsidRPr="003921E2">
        <w:t>35 thousand tonnes) and is carried out by MINA BALKAN 2000 EAD.</w:t>
      </w:r>
    </w:p>
    <w:sectPr w:rsidR="006100DE" w:rsidRPr="003921E2" w:rsidSect="00F4755F">
      <w:type w:val="continuous"/>
      <w:pgSz w:w="12247" w:h="17180" w:code="245"/>
      <w:pgMar w:top="1304" w:right="1021" w:bottom="1304" w:left="1021" w:header="567" w:footer="709"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19FD" w14:textId="77777777" w:rsidR="00611919" w:rsidRDefault="00611919" w:rsidP="00CB2B37">
      <w:pPr>
        <w:spacing w:after="0" w:line="240" w:lineRule="auto"/>
      </w:pPr>
      <w:r>
        <w:separator/>
      </w:r>
    </w:p>
  </w:endnote>
  <w:endnote w:type="continuationSeparator" w:id="0">
    <w:p w14:paraId="43E619FE" w14:textId="77777777" w:rsidR="00611919" w:rsidRDefault="00611919" w:rsidP="00CB2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19FB" w14:textId="77777777" w:rsidR="00611919" w:rsidRDefault="00611919" w:rsidP="00CB2B37">
      <w:pPr>
        <w:spacing w:after="0" w:line="240" w:lineRule="auto"/>
      </w:pPr>
      <w:r>
        <w:separator/>
      </w:r>
    </w:p>
  </w:footnote>
  <w:footnote w:type="continuationSeparator" w:id="0">
    <w:p w14:paraId="43E619FC" w14:textId="77777777" w:rsidR="00611919" w:rsidRDefault="00611919" w:rsidP="00CB2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7E3B"/>
    <w:multiLevelType w:val="hybridMultilevel"/>
    <w:tmpl w:val="F00EE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91534"/>
    <w:multiLevelType w:val="hybridMultilevel"/>
    <w:tmpl w:val="1D2A5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68694F"/>
    <w:multiLevelType w:val="hybridMultilevel"/>
    <w:tmpl w:val="85D4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25EB8"/>
    <w:multiLevelType w:val="hybridMultilevel"/>
    <w:tmpl w:val="F9D4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F7C1D"/>
    <w:multiLevelType w:val="hybridMultilevel"/>
    <w:tmpl w:val="8BDE2624"/>
    <w:lvl w:ilvl="0" w:tplc="67720AE0">
      <w:start w:val="1"/>
      <w:numFmt w:val="decimal"/>
      <w:pStyle w:val="INSIGHTSplaceholder"/>
      <w:lvlText w:val="INSIGHTS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6237009">
    <w:abstractNumId w:val="1"/>
  </w:num>
  <w:num w:numId="2" w16cid:durableId="1252399447">
    <w:abstractNumId w:val="4"/>
  </w:num>
  <w:num w:numId="3" w16cid:durableId="859852066">
    <w:abstractNumId w:val="2"/>
  </w:num>
  <w:num w:numId="4" w16cid:durableId="1073890488">
    <w:abstractNumId w:val="0"/>
  </w:num>
  <w:num w:numId="5" w16cid:durableId="3769302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displayBackgroundShape/>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4097">
      <o:colormru v:ext="edit" colors="#f0f0f4"/>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0F6"/>
    <w:rsid w:val="00000F22"/>
    <w:rsid w:val="00000F71"/>
    <w:rsid w:val="00006846"/>
    <w:rsid w:val="00006912"/>
    <w:rsid w:val="000077F9"/>
    <w:rsid w:val="000100C1"/>
    <w:rsid w:val="00013AB7"/>
    <w:rsid w:val="00015243"/>
    <w:rsid w:val="00015715"/>
    <w:rsid w:val="00015F96"/>
    <w:rsid w:val="00016696"/>
    <w:rsid w:val="00017E84"/>
    <w:rsid w:val="00020757"/>
    <w:rsid w:val="00020A26"/>
    <w:rsid w:val="00020CE9"/>
    <w:rsid w:val="00021FF1"/>
    <w:rsid w:val="0002447C"/>
    <w:rsid w:val="0002475E"/>
    <w:rsid w:val="00024D08"/>
    <w:rsid w:val="00024E74"/>
    <w:rsid w:val="00025022"/>
    <w:rsid w:val="0002563B"/>
    <w:rsid w:val="00026137"/>
    <w:rsid w:val="0002656A"/>
    <w:rsid w:val="000267A9"/>
    <w:rsid w:val="00026A0F"/>
    <w:rsid w:val="00026E42"/>
    <w:rsid w:val="000278FA"/>
    <w:rsid w:val="0003414F"/>
    <w:rsid w:val="000342D1"/>
    <w:rsid w:val="00037319"/>
    <w:rsid w:val="00037E68"/>
    <w:rsid w:val="0004113E"/>
    <w:rsid w:val="00041451"/>
    <w:rsid w:val="00041581"/>
    <w:rsid w:val="0004185D"/>
    <w:rsid w:val="00042224"/>
    <w:rsid w:val="000422A8"/>
    <w:rsid w:val="000425D3"/>
    <w:rsid w:val="00042998"/>
    <w:rsid w:val="00042A94"/>
    <w:rsid w:val="00046188"/>
    <w:rsid w:val="0004651F"/>
    <w:rsid w:val="00046747"/>
    <w:rsid w:val="00046CDC"/>
    <w:rsid w:val="0004722B"/>
    <w:rsid w:val="0005006D"/>
    <w:rsid w:val="0005022F"/>
    <w:rsid w:val="00050A44"/>
    <w:rsid w:val="00051F00"/>
    <w:rsid w:val="00052725"/>
    <w:rsid w:val="00053509"/>
    <w:rsid w:val="00053C26"/>
    <w:rsid w:val="000546C1"/>
    <w:rsid w:val="000562E8"/>
    <w:rsid w:val="000569A6"/>
    <w:rsid w:val="00056A4E"/>
    <w:rsid w:val="00057B30"/>
    <w:rsid w:val="00057F88"/>
    <w:rsid w:val="00060A0A"/>
    <w:rsid w:val="0006171D"/>
    <w:rsid w:val="00061838"/>
    <w:rsid w:val="00065C07"/>
    <w:rsid w:val="00067731"/>
    <w:rsid w:val="00072FF7"/>
    <w:rsid w:val="0007571E"/>
    <w:rsid w:val="000766D5"/>
    <w:rsid w:val="00080939"/>
    <w:rsid w:val="00080E08"/>
    <w:rsid w:val="00081A6B"/>
    <w:rsid w:val="00083C11"/>
    <w:rsid w:val="00084545"/>
    <w:rsid w:val="000847FE"/>
    <w:rsid w:val="00084B4D"/>
    <w:rsid w:val="0009003B"/>
    <w:rsid w:val="00090972"/>
    <w:rsid w:val="00090AE6"/>
    <w:rsid w:val="0009288B"/>
    <w:rsid w:val="00093A4B"/>
    <w:rsid w:val="00095539"/>
    <w:rsid w:val="0009635F"/>
    <w:rsid w:val="00096462"/>
    <w:rsid w:val="00096CDB"/>
    <w:rsid w:val="00097B97"/>
    <w:rsid w:val="000A058A"/>
    <w:rsid w:val="000A0F9E"/>
    <w:rsid w:val="000A16DA"/>
    <w:rsid w:val="000A286C"/>
    <w:rsid w:val="000A465E"/>
    <w:rsid w:val="000A66A8"/>
    <w:rsid w:val="000A766B"/>
    <w:rsid w:val="000B17FA"/>
    <w:rsid w:val="000B285E"/>
    <w:rsid w:val="000B34C6"/>
    <w:rsid w:val="000B36FF"/>
    <w:rsid w:val="000C208A"/>
    <w:rsid w:val="000C38BE"/>
    <w:rsid w:val="000C3EB9"/>
    <w:rsid w:val="000C633F"/>
    <w:rsid w:val="000C6342"/>
    <w:rsid w:val="000C6585"/>
    <w:rsid w:val="000C7DD6"/>
    <w:rsid w:val="000D1A4D"/>
    <w:rsid w:val="000D2187"/>
    <w:rsid w:val="000D2222"/>
    <w:rsid w:val="000D4722"/>
    <w:rsid w:val="000D4B03"/>
    <w:rsid w:val="000D5B2C"/>
    <w:rsid w:val="000D6C6B"/>
    <w:rsid w:val="000D78FA"/>
    <w:rsid w:val="000D7B43"/>
    <w:rsid w:val="000E03BE"/>
    <w:rsid w:val="000E3B37"/>
    <w:rsid w:val="000E3E4F"/>
    <w:rsid w:val="000E4791"/>
    <w:rsid w:val="000E5C73"/>
    <w:rsid w:val="000F126E"/>
    <w:rsid w:val="000F3FC6"/>
    <w:rsid w:val="000F53A2"/>
    <w:rsid w:val="000F5DCC"/>
    <w:rsid w:val="000F5F2E"/>
    <w:rsid w:val="000F788E"/>
    <w:rsid w:val="00101731"/>
    <w:rsid w:val="00101B51"/>
    <w:rsid w:val="001023B1"/>
    <w:rsid w:val="00104206"/>
    <w:rsid w:val="001066AB"/>
    <w:rsid w:val="00106B65"/>
    <w:rsid w:val="00106E4E"/>
    <w:rsid w:val="00106F77"/>
    <w:rsid w:val="00110430"/>
    <w:rsid w:val="00110A9A"/>
    <w:rsid w:val="00112E5F"/>
    <w:rsid w:val="00112F10"/>
    <w:rsid w:val="001141DB"/>
    <w:rsid w:val="00115344"/>
    <w:rsid w:val="00115D02"/>
    <w:rsid w:val="00115D8D"/>
    <w:rsid w:val="00116D03"/>
    <w:rsid w:val="00116F51"/>
    <w:rsid w:val="0012333D"/>
    <w:rsid w:val="00125658"/>
    <w:rsid w:val="0012664D"/>
    <w:rsid w:val="00127283"/>
    <w:rsid w:val="0013075C"/>
    <w:rsid w:val="00131637"/>
    <w:rsid w:val="00131694"/>
    <w:rsid w:val="00131FCA"/>
    <w:rsid w:val="00133416"/>
    <w:rsid w:val="0013369D"/>
    <w:rsid w:val="00134532"/>
    <w:rsid w:val="001358B3"/>
    <w:rsid w:val="00137022"/>
    <w:rsid w:val="00137A7B"/>
    <w:rsid w:val="0014047F"/>
    <w:rsid w:val="00140A0A"/>
    <w:rsid w:val="00140FCD"/>
    <w:rsid w:val="00142E74"/>
    <w:rsid w:val="00142EB4"/>
    <w:rsid w:val="0014406F"/>
    <w:rsid w:val="00144A48"/>
    <w:rsid w:val="00145ABC"/>
    <w:rsid w:val="0014761E"/>
    <w:rsid w:val="00147A04"/>
    <w:rsid w:val="00147C16"/>
    <w:rsid w:val="001511C4"/>
    <w:rsid w:val="00152702"/>
    <w:rsid w:val="0015330B"/>
    <w:rsid w:val="00156A87"/>
    <w:rsid w:val="00157C70"/>
    <w:rsid w:val="00157DD0"/>
    <w:rsid w:val="001603AC"/>
    <w:rsid w:val="001609CD"/>
    <w:rsid w:val="00162EE3"/>
    <w:rsid w:val="00163551"/>
    <w:rsid w:val="00164875"/>
    <w:rsid w:val="00164B2D"/>
    <w:rsid w:val="00166388"/>
    <w:rsid w:val="0017037F"/>
    <w:rsid w:val="001713A8"/>
    <w:rsid w:val="00171B92"/>
    <w:rsid w:val="00172312"/>
    <w:rsid w:val="0017257D"/>
    <w:rsid w:val="001759A2"/>
    <w:rsid w:val="00175C07"/>
    <w:rsid w:val="00181078"/>
    <w:rsid w:val="00182F68"/>
    <w:rsid w:val="00183745"/>
    <w:rsid w:val="001839D1"/>
    <w:rsid w:val="00183AB9"/>
    <w:rsid w:val="00184CF5"/>
    <w:rsid w:val="00185D00"/>
    <w:rsid w:val="00186476"/>
    <w:rsid w:val="00187440"/>
    <w:rsid w:val="001877CB"/>
    <w:rsid w:val="00187CCB"/>
    <w:rsid w:val="00190C0B"/>
    <w:rsid w:val="00190C35"/>
    <w:rsid w:val="00191BB5"/>
    <w:rsid w:val="001921BF"/>
    <w:rsid w:val="0019252C"/>
    <w:rsid w:val="00192DE8"/>
    <w:rsid w:val="00195E68"/>
    <w:rsid w:val="001A2AB0"/>
    <w:rsid w:val="001A472D"/>
    <w:rsid w:val="001A50C2"/>
    <w:rsid w:val="001A5BBA"/>
    <w:rsid w:val="001B104B"/>
    <w:rsid w:val="001B3A80"/>
    <w:rsid w:val="001B4C5B"/>
    <w:rsid w:val="001B5842"/>
    <w:rsid w:val="001C0A98"/>
    <w:rsid w:val="001C0C5C"/>
    <w:rsid w:val="001C6227"/>
    <w:rsid w:val="001C6903"/>
    <w:rsid w:val="001C7E6B"/>
    <w:rsid w:val="001D0A49"/>
    <w:rsid w:val="001D0BD5"/>
    <w:rsid w:val="001D0C10"/>
    <w:rsid w:val="001D55EF"/>
    <w:rsid w:val="001D6450"/>
    <w:rsid w:val="001D7048"/>
    <w:rsid w:val="001D7853"/>
    <w:rsid w:val="001D797A"/>
    <w:rsid w:val="001E10BE"/>
    <w:rsid w:val="001E1918"/>
    <w:rsid w:val="001E470E"/>
    <w:rsid w:val="001E5358"/>
    <w:rsid w:val="001E55F3"/>
    <w:rsid w:val="001E7EB5"/>
    <w:rsid w:val="001F2AEE"/>
    <w:rsid w:val="001F6954"/>
    <w:rsid w:val="001F6C4E"/>
    <w:rsid w:val="001F731B"/>
    <w:rsid w:val="00200049"/>
    <w:rsid w:val="00200BF1"/>
    <w:rsid w:val="00202429"/>
    <w:rsid w:val="00204D8D"/>
    <w:rsid w:val="002051D1"/>
    <w:rsid w:val="00207C31"/>
    <w:rsid w:val="002103BC"/>
    <w:rsid w:val="00211BE1"/>
    <w:rsid w:val="00213512"/>
    <w:rsid w:val="0021462A"/>
    <w:rsid w:val="002155B1"/>
    <w:rsid w:val="00215BBE"/>
    <w:rsid w:val="0022008C"/>
    <w:rsid w:val="00221CDC"/>
    <w:rsid w:val="00222F23"/>
    <w:rsid w:val="002235C0"/>
    <w:rsid w:val="00224121"/>
    <w:rsid w:val="002246DE"/>
    <w:rsid w:val="0022612D"/>
    <w:rsid w:val="00226A47"/>
    <w:rsid w:val="002277A1"/>
    <w:rsid w:val="00227926"/>
    <w:rsid w:val="00227CD7"/>
    <w:rsid w:val="00230DAC"/>
    <w:rsid w:val="00230E43"/>
    <w:rsid w:val="00231334"/>
    <w:rsid w:val="002313CE"/>
    <w:rsid w:val="00231540"/>
    <w:rsid w:val="00231DF6"/>
    <w:rsid w:val="00234617"/>
    <w:rsid w:val="00234D61"/>
    <w:rsid w:val="00235271"/>
    <w:rsid w:val="002361CD"/>
    <w:rsid w:val="002367F4"/>
    <w:rsid w:val="0023695F"/>
    <w:rsid w:val="00237492"/>
    <w:rsid w:val="00237C2D"/>
    <w:rsid w:val="0024005A"/>
    <w:rsid w:val="00240E85"/>
    <w:rsid w:val="00241EA6"/>
    <w:rsid w:val="002465EC"/>
    <w:rsid w:val="00246768"/>
    <w:rsid w:val="002471BE"/>
    <w:rsid w:val="00247836"/>
    <w:rsid w:val="0025046C"/>
    <w:rsid w:val="002513E3"/>
    <w:rsid w:val="002525AA"/>
    <w:rsid w:val="00253711"/>
    <w:rsid w:val="0025444D"/>
    <w:rsid w:val="00254575"/>
    <w:rsid w:val="00254D71"/>
    <w:rsid w:val="002551F4"/>
    <w:rsid w:val="00255B3D"/>
    <w:rsid w:val="00256703"/>
    <w:rsid w:val="00257F20"/>
    <w:rsid w:val="00257FB4"/>
    <w:rsid w:val="00261479"/>
    <w:rsid w:val="00261780"/>
    <w:rsid w:val="002655FD"/>
    <w:rsid w:val="002657BC"/>
    <w:rsid w:val="002708FB"/>
    <w:rsid w:val="00275846"/>
    <w:rsid w:val="00275F10"/>
    <w:rsid w:val="002820F7"/>
    <w:rsid w:val="00284061"/>
    <w:rsid w:val="002840B4"/>
    <w:rsid w:val="00284C8E"/>
    <w:rsid w:val="002858E2"/>
    <w:rsid w:val="0028667E"/>
    <w:rsid w:val="00286DEA"/>
    <w:rsid w:val="0028753D"/>
    <w:rsid w:val="00287711"/>
    <w:rsid w:val="002913FD"/>
    <w:rsid w:val="00292348"/>
    <w:rsid w:val="0029236D"/>
    <w:rsid w:val="00292736"/>
    <w:rsid w:val="00292768"/>
    <w:rsid w:val="00294E77"/>
    <w:rsid w:val="00296677"/>
    <w:rsid w:val="002966DE"/>
    <w:rsid w:val="00296BB5"/>
    <w:rsid w:val="002A0189"/>
    <w:rsid w:val="002A02E6"/>
    <w:rsid w:val="002A45AF"/>
    <w:rsid w:val="002A4636"/>
    <w:rsid w:val="002A47DC"/>
    <w:rsid w:val="002A7445"/>
    <w:rsid w:val="002B0331"/>
    <w:rsid w:val="002B11D4"/>
    <w:rsid w:val="002B2241"/>
    <w:rsid w:val="002B2579"/>
    <w:rsid w:val="002B27B6"/>
    <w:rsid w:val="002B477E"/>
    <w:rsid w:val="002B478C"/>
    <w:rsid w:val="002B769F"/>
    <w:rsid w:val="002C0122"/>
    <w:rsid w:val="002C0776"/>
    <w:rsid w:val="002C3661"/>
    <w:rsid w:val="002C3AB0"/>
    <w:rsid w:val="002C4857"/>
    <w:rsid w:val="002C48BA"/>
    <w:rsid w:val="002C52D6"/>
    <w:rsid w:val="002C5B82"/>
    <w:rsid w:val="002D0668"/>
    <w:rsid w:val="002D17CD"/>
    <w:rsid w:val="002D20D9"/>
    <w:rsid w:val="002D257E"/>
    <w:rsid w:val="002D284C"/>
    <w:rsid w:val="002D2A1D"/>
    <w:rsid w:val="002D303A"/>
    <w:rsid w:val="002D5E8B"/>
    <w:rsid w:val="002D60CC"/>
    <w:rsid w:val="002E051B"/>
    <w:rsid w:val="002E0A75"/>
    <w:rsid w:val="002E1092"/>
    <w:rsid w:val="002E1448"/>
    <w:rsid w:val="002E39A6"/>
    <w:rsid w:val="002E457F"/>
    <w:rsid w:val="002E7CFF"/>
    <w:rsid w:val="002F2FA4"/>
    <w:rsid w:val="002F3244"/>
    <w:rsid w:val="002F3336"/>
    <w:rsid w:val="002F48E4"/>
    <w:rsid w:val="002F5EA4"/>
    <w:rsid w:val="002F6374"/>
    <w:rsid w:val="00300176"/>
    <w:rsid w:val="0030078C"/>
    <w:rsid w:val="00302AB7"/>
    <w:rsid w:val="00302D9C"/>
    <w:rsid w:val="003035FD"/>
    <w:rsid w:val="003040EA"/>
    <w:rsid w:val="00305945"/>
    <w:rsid w:val="003059A6"/>
    <w:rsid w:val="0031147E"/>
    <w:rsid w:val="00312508"/>
    <w:rsid w:val="00312AF9"/>
    <w:rsid w:val="00312DD6"/>
    <w:rsid w:val="00315F5E"/>
    <w:rsid w:val="0031657E"/>
    <w:rsid w:val="00321189"/>
    <w:rsid w:val="00322660"/>
    <w:rsid w:val="00322B2B"/>
    <w:rsid w:val="00322D16"/>
    <w:rsid w:val="00322EDD"/>
    <w:rsid w:val="00322F51"/>
    <w:rsid w:val="003234F2"/>
    <w:rsid w:val="003266D2"/>
    <w:rsid w:val="00327B72"/>
    <w:rsid w:val="003307A3"/>
    <w:rsid w:val="003307D1"/>
    <w:rsid w:val="00330CB3"/>
    <w:rsid w:val="00332F21"/>
    <w:rsid w:val="00334C43"/>
    <w:rsid w:val="003373FB"/>
    <w:rsid w:val="00337970"/>
    <w:rsid w:val="00340922"/>
    <w:rsid w:val="00341518"/>
    <w:rsid w:val="00342443"/>
    <w:rsid w:val="00342F5D"/>
    <w:rsid w:val="00343820"/>
    <w:rsid w:val="00343A06"/>
    <w:rsid w:val="00343F65"/>
    <w:rsid w:val="0034445B"/>
    <w:rsid w:val="00344C4F"/>
    <w:rsid w:val="00344D30"/>
    <w:rsid w:val="003458FC"/>
    <w:rsid w:val="00345D2A"/>
    <w:rsid w:val="003462C8"/>
    <w:rsid w:val="00346673"/>
    <w:rsid w:val="0034722B"/>
    <w:rsid w:val="00351646"/>
    <w:rsid w:val="003522FF"/>
    <w:rsid w:val="00352FF9"/>
    <w:rsid w:val="00353286"/>
    <w:rsid w:val="003532E1"/>
    <w:rsid w:val="00353405"/>
    <w:rsid w:val="003545BE"/>
    <w:rsid w:val="00355116"/>
    <w:rsid w:val="003554BD"/>
    <w:rsid w:val="00355CFA"/>
    <w:rsid w:val="00360539"/>
    <w:rsid w:val="003619D4"/>
    <w:rsid w:val="00361BF8"/>
    <w:rsid w:val="00362617"/>
    <w:rsid w:val="00363033"/>
    <w:rsid w:val="0036498E"/>
    <w:rsid w:val="00364A23"/>
    <w:rsid w:val="00364F16"/>
    <w:rsid w:val="0036613F"/>
    <w:rsid w:val="0037572A"/>
    <w:rsid w:val="00376419"/>
    <w:rsid w:val="0038015D"/>
    <w:rsid w:val="0038250B"/>
    <w:rsid w:val="00386CA6"/>
    <w:rsid w:val="003873D3"/>
    <w:rsid w:val="00390DD1"/>
    <w:rsid w:val="003915DA"/>
    <w:rsid w:val="00391A0A"/>
    <w:rsid w:val="003921E2"/>
    <w:rsid w:val="00392C13"/>
    <w:rsid w:val="003950EE"/>
    <w:rsid w:val="003A0504"/>
    <w:rsid w:val="003A11FE"/>
    <w:rsid w:val="003A2D71"/>
    <w:rsid w:val="003A330C"/>
    <w:rsid w:val="003A51C5"/>
    <w:rsid w:val="003A5E6F"/>
    <w:rsid w:val="003A6AE1"/>
    <w:rsid w:val="003A6C47"/>
    <w:rsid w:val="003B053A"/>
    <w:rsid w:val="003B126D"/>
    <w:rsid w:val="003B1C17"/>
    <w:rsid w:val="003B3CD0"/>
    <w:rsid w:val="003B3D9D"/>
    <w:rsid w:val="003B4DDF"/>
    <w:rsid w:val="003B550D"/>
    <w:rsid w:val="003B582F"/>
    <w:rsid w:val="003B7069"/>
    <w:rsid w:val="003B79D5"/>
    <w:rsid w:val="003C0CE3"/>
    <w:rsid w:val="003C0FE1"/>
    <w:rsid w:val="003C58EF"/>
    <w:rsid w:val="003C67BA"/>
    <w:rsid w:val="003C7348"/>
    <w:rsid w:val="003D0F76"/>
    <w:rsid w:val="003D1C57"/>
    <w:rsid w:val="003D3F31"/>
    <w:rsid w:val="003D3F9C"/>
    <w:rsid w:val="003D4D75"/>
    <w:rsid w:val="003D52FE"/>
    <w:rsid w:val="003D6B59"/>
    <w:rsid w:val="003D75A7"/>
    <w:rsid w:val="003D7EB3"/>
    <w:rsid w:val="003E0A67"/>
    <w:rsid w:val="003E14B1"/>
    <w:rsid w:val="003E1670"/>
    <w:rsid w:val="003E1F33"/>
    <w:rsid w:val="003E5078"/>
    <w:rsid w:val="003F04C3"/>
    <w:rsid w:val="003F0577"/>
    <w:rsid w:val="003F093D"/>
    <w:rsid w:val="003F0D88"/>
    <w:rsid w:val="003F0DED"/>
    <w:rsid w:val="003F230D"/>
    <w:rsid w:val="003F4A84"/>
    <w:rsid w:val="003F7266"/>
    <w:rsid w:val="003F7C8C"/>
    <w:rsid w:val="00403A6F"/>
    <w:rsid w:val="00403CE7"/>
    <w:rsid w:val="004078C7"/>
    <w:rsid w:val="00410236"/>
    <w:rsid w:val="00411942"/>
    <w:rsid w:val="00412849"/>
    <w:rsid w:val="00412EE2"/>
    <w:rsid w:val="00413E18"/>
    <w:rsid w:val="00414185"/>
    <w:rsid w:val="00415656"/>
    <w:rsid w:val="00417831"/>
    <w:rsid w:val="00417D3C"/>
    <w:rsid w:val="004225AE"/>
    <w:rsid w:val="00422F22"/>
    <w:rsid w:val="0042393B"/>
    <w:rsid w:val="00423E59"/>
    <w:rsid w:val="0042553D"/>
    <w:rsid w:val="004262DC"/>
    <w:rsid w:val="0042679C"/>
    <w:rsid w:val="00427D6D"/>
    <w:rsid w:val="004305C8"/>
    <w:rsid w:val="00430AD5"/>
    <w:rsid w:val="00430C87"/>
    <w:rsid w:val="004332DF"/>
    <w:rsid w:val="0043389B"/>
    <w:rsid w:val="00433C24"/>
    <w:rsid w:val="0043431D"/>
    <w:rsid w:val="0043433D"/>
    <w:rsid w:val="004353AB"/>
    <w:rsid w:val="00436E8E"/>
    <w:rsid w:val="00437677"/>
    <w:rsid w:val="00437BB4"/>
    <w:rsid w:val="00441473"/>
    <w:rsid w:val="00441A28"/>
    <w:rsid w:val="0044272B"/>
    <w:rsid w:val="004446B2"/>
    <w:rsid w:val="00444746"/>
    <w:rsid w:val="0044584A"/>
    <w:rsid w:val="00445BC4"/>
    <w:rsid w:val="004470E6"/>
    <w:rsid w:val="00450CBA"/>
    <w:rsid w:val="00454A72"/>
    <w:rsid w:val="00455EA9"/>
    <w:rsid w:val="00456547"/>
    <w:rsid w:val="004570CC"/>
    <w:rsid w:val="00457DD3"/>
    <w:rsid w:val="00463FCD"/>
    <w:rsid w:val="00465072"/>
    <w:rsid w:val="00465632"/>
    <w:rsid w:val="004663CF"/>
    <w:rsid w:val="00466936"/>
    <w:rsid w:val="00466BC8"/>
    <w:rsid w:val="00470AC4"/>
    <w:rsid w:val="00471E6C"/>
    <w:rsid w:val="00474288"/>
    <w:rsid w:val="00474726"/>
    <w:rsid w:val="00474BBF"/>
    <w:rsid w:val="00474EA6"/>
    <w:rsid w:val="00475268"/>
    <w:rsid w:val="00475551"/>
    <w:rsid w:val="0047617E"/>
    <w:rsid w:val="004807AD"/>
    <w:rsid w:val="0048335D"/>
    <w:rsid w:val="00483B2C"/>
    <w:rsid w:val="004859D1"/>
    <w:rsid w:val="00485CAA"/>
    <w:rsid w:val="0048650C"/>
    <w:rsid w:val="004907C8"/>
    <w:rsid w:val="00491B37"/>
    <w:rsid w:val="00492080"/>
    <w:rsid w:val="00492154"/>
    <w:rsid w:val="004938AE"/>
    <w:rsid w:val="00494895"/>
    <w:rsid w:val="00494CA0"/>
    <w:rsid w:val="00494D7E"/>
    <w:rsid w:val="004A08CE"/>
    <w:rsid w:val="004A101A"/>
    <w:rsid w:val="004A31E3"/>
    <w:rsid w:val="004A372D"/>
    <w:rsid w:val="004A3846"/>
    <w:rsid w:val="004A40B0"/>
    <w:rsid w:val="004A43E5"/>
    <w:rsid w:val="004A640B"/>
    <w:rsid w:val="004B1AD9"/>
    <w:rsid w:val="004B37CA"/>
    <w:rsid w:val="004B3FF0"/>
    <w:rsid w:val="004B5069"/>
    <w:rsid w:val="004B605C"/>
    <w:rsid w:val="004B6755"/>
    <w:rsid w:val="004B6A6A"/>
    <w:rsid w:val="004B6D3F"/>
    <w:rsid w:val="004B7231"/>
    <w:rsid w:val="004C02D0"/>
    <w:rsid w:val="004C0C4B"/>
    <w:rsid w:val="004C147F"/>
    <w:rsid w:val="004C4EED"/>
    <w:rsid w:val="004D0C0C"/>
    <w:rsid w:val="004D3F14"/>
    <w:rsid w:val="004D6D94"/>
    <w:rsid w:val="004E0E1E"/>
    <w:rsid w:val="004E116E"/>
    <w:rsid w:val="004E227C"/>
    <w:rsid w:val="004E29A0"/>
    <w:rsid w:val="004E32F3"/>
    <w:rsid w:val="004E4337"/>
    <w:rsid w:val="004E445A"/>
    <w:rsid w:val="004E53EB"/>
    <w:rsid w:val="004E5CC5"/>
    <w:rsid w:val="004E6210"/>
    <w:rsid w:val="004F03C4"/>
    <w:rsid w:val="004F4E46"/>
    <w:rsid w:val="004F540C"/>
    <w:rsid w:val="004F54CB"/>
    <w:rsid w:val="004F54E0"/>
    <w:rsid w:val="004F5AF9"/>
    <w:rsid w:val="004F5BEE"/>
    <w:rsid w:val="004F6600"/>
    <w:rsid w:val="004F75EB"/>
    <w:rsid w:val="00500B3E"/>
    <w:rsid w:val="00501149"/>
    <w:rsid w:val="00502154"/>
    <w:rsid w:val="00502A8B"/>
    <w:rsid w:val="00502E4B"/>
    <w:rsid w:val="005063A7"/>
    <w:rsid w:val="00506616"/>
    <w:rsid w:val="00506951"/>
    <w:rsid w:val="00507037"/>
    <w:rsid w:val="0050720F"/>
    <w:rsid w:val="0050731E"/>
    <w:rsid w:val="00511DA0"/>
    <w:rsid w:val="00513528"/>
    <w:rsid w:val="005153DE"/>
    <w:rsid w:val="0051698A"/>
    <w:rsid w:val="00516F4D"/>
    <w:rsid w:val="00517471"/>
    <w:rsid w:val="00517BFD"/>
    <w:rsid w:val="00520240"/>
    <w:rsid w:val="00521636"/>
    <w:rsid w:val="00521D6B"/>
    <w:rsid w:val="00526002"/>
    <w:rsid w:val="00526958"/>
    <w:rsid w:val="00532598"/>
    <w:rsid w:val="00533128"/>
    <w:rsid w:val="00533929"/>
    <w:rsid w:val="00533C73"/>
    <w:rsid w:val="00536AE2"/>
    <w:rsid w:val="00537846"/>
    <w:rsid w:val="00537D6B"/>
    <w:rsid w:val="005412C9"/>
    <w:rsid w:val="00541FAE"/>
    <w:rsid w:val="00542C34"/>
    <w:rsid w:val="0054424C"/>
    <w:rsid w:val="005459FA"/>
    <w:rsid w:val="00545B4C"/>
    <w:rsid w:val="00547868"/>
    <w:rsid w:val="005510CC"/>
    <w:rsid w:val="00553B30"/>
    <w:rsid w:val="00554BE1"/>
    <w:rsid w:val="00554FE4"/>
    <w:rsid w:val="00554FEB"/>
    <w:rsid w:val="00555F38"/>
    <w:rsid w:val="00556B07"/>
    <w:rsid w:val="0055726F"/>
    <w:rsid w:val="00557BA9"/>
    <w:rsid w:val="005607EC"/>
    <w:rsid w:val="00561120"/>
    <w:rsid w:val="00562BCC"/>
    <w:rsid w:val="005630CB"/>
    <w:rsid w:val="00564553"/>
    <w:rsid w:val="005730DA"/>
    <w:rsid w:val="00573D97"/>
    <w:rsid w:val="00573FA3"/>
    <w:rsid w:val="00573FE8"/>
    <w:rsid w:val="00574B6F"/>
    <w:rsid w:val="00575404"/>
    <w:rsid w:val="005809A5"/>
    <w:rsid w:val="00580BDF"/>
    <w:rsid w:val="00582003"/>
    <w:rsid w:val="005825B0"/>
    <w:rsid w:val="005842EE"/>
    <w:rsid w:val="00585D7C"/>
    <w:rsid w:val="0058655D"/>
    <w:rsid w:val="00590EFB"/>
    <w:rsid w:val="005951CD"/>
    <w:rsid w:val="00595E97"/>
    <w:rsid w:val="00596875"/>
    <w:rsid w:val="0059733D"/>
    <w:rsid w:val="00597E52"/>
    <w:rsid w:val="005A0DD8"/>
    <w:rsid w:val="005A122B"/>
    <w:rsid w:val="005A1CC9"/>
    <w:rsid w:val="005A27CB"/>
    <w:rsid w:val="005A3F68"/>
    <w:rsid w:val="005A4844"/>
    <w:rsid w:val="005A5481"/>
    <w:rsid w:val="005A654B"/>
    <w:rsid w:val="005A772D"/>
    <w:rsid w:val="005B0CD1"/>
    <w:rsid w:val="005B1C0F"/>
    <w:rsid w:val="005B2A4F"/>
    <w:rsid w:val="005B35E0"/>
    <w:rsid w:val="005B40C0"/>
    <w:rsid w:val="005B527E"/>
    <w:rsid w:val="005B57A0"/>
    <w:rsid w:val="005B58A4"/>
    <w:rsid w:val="005B5933"/>
    <w:rsid w:val="005B6999"/>
    <w:rsid w:val="005C0B4D"/>
    <w:rsid w:val="005C0E4B"/>
    <w:rsid w:val="005C1790"/>
    <w:rsid w:val="005C349B"/>
    <w:rsid w:val="005C35B3"/>
    <w:rsid w:val="005C41C6"/>
    <w:rsid w:val="005C46A1"/>
    <w:rsid w:val="005C475F"/>
    <w:rsid w:val="005C51A5"/>
    <w:rsid w:val="005C5437"/>
    <w:rsid w:val="005D53A5"/>
    <w:rsid w:val="005D6E42"/>
    <w:rsid w:val="005D7643"/>
    <w:rsid w:val="005E352B"/>
    <w:rsid w:val="005E38CB"/>
    <w:rsid w:val="005E3AFF"/>
    <w:rsid w:val="005E4CBC"/>
    <w:rsid w:val="005E57F4"/>
    <w:rsid w:val="005E58DB"/>
    <w:rsid w:val="005E6B4B"/>
    <w:rsid w:val="005E75E6"/>
    <w:rsid w:val="005F0AC0"/>
    <w:rsid w:val="005F0EFB"/>
    <w:rsid w:val="005F376F"/>
    <w:rsid w:val="005F4243"/>
    <w:rsid w:val="005F68C8"/>
    <w:rsid w:val="005F7038"/>
    <w:rsid w:val="005F7148"/>
    <w:rsid w:val="006000A0"/>
    <w:rsid w:val="00600B57"/>
    <w:rsid w:val="00607AC0"/>
    <w:rsid w:val="006100DE"/>
    <w:rsid w:val="00611919"/>
    <w:rsid w:val="00613755"/>
    <w:rsid w:val="00614939"/>
    <w:rsid w:val="00615E4E"/>
    <w:rsid w:val="00616299"/>
    <w:rsid w:val="006162E2"/>
    <w:rsid w:val="0061658E"/>
    <w:rsid w:val="006175EA"/>
    <w:rsid w:val="0061773A"/>
    <w:rsid w:val="00617A6F"/>
    <w:rsid w:val="006230F6"/>
    <w:rsid w:val="006248CE"/>
    <w:rsid w:val="00624A59"/>
    <w:rsid w:val="0062651F"/>
    <w:rsid w:val="006266FD"/>
    <w:rsid w:val="00626C8E"/>
    <w:rsid w:val="00626D05"/>
    <w:rsid w:val="00627FF7"/>
    <w:rsid w:val="006316EC"/>
    <w:rsid w:val="00631737"/>
    <w:rsid w:val="00632C47"/>
    <w:rsid w:val="006416A6"/>
    <w:rsid w:val="00642100"/>
    <w:rsid w:val="00642937"/>
    <w:rsid w:val="0064385C"/>
    <w:rsid w:val="00643CEC"/>
    <w:rsid w:val="0064471B"/>
    <w:rsid w:val="00645517"/>
    <w:rsid w:val="00650325"/>
    <w:rsid w:val="006516F8"/>
    <w:rsid w:val="0065345E"/>
    <w:rsid w:val="00654504"/>
    <w:rsid w:val="0065516E"/>
    <w:rsid w:val="00655396"/>
    <w:rsid w:val="006568F2"/>
    <w:rsid w:val="006571A4"/>
    <w:rsid w:val="00657AA1"/>
    <w:rsid w:val="00657F43"/>
    <w:rsid w:val="00662A62"/>
    <w:rsid w:val="00662FCF"/>
    <w:rsid w:val="0066375B"/>
    <w:rsid w:val="00663B18"/>
    <w:rsid w:val="00663F86"/>
    <w:rsid w:val="00665754"/>
    <w:rsid w:val="00672A4C"/>
    <w:rsid w:val="0068436B"/>
    <w:rsid w:val="006859D3"/>
    <w:rsid w:val="006878D0"/>
    <w:rsid w:val="0069021F"/>
    <w:rsid w:val="00690299"/>
    <w:rsid w:val="00690AB0"/>
    <w:rsid w:val="006935EB"/>
    <w:rsid w:val="00694EE2"/>
    <w:rsid w:val="0069614D"/>
    <w:rsid w:val="0069769A"/>
    <w:rsid w:val="00697871"/>
    <w:rsid w:val="006A2983"/>
    <w:rsid w:val="006A4808"/>
    <w:rsid w:val="006A57BF"/>
    <w:rsid w:val="006A68D5"/>
    <w:rsid w:val="006A6989"/>
    <w:rsid w:val="006B1BBC"/>
    <w:rsid w:val="006B4C36"/>
    <w:rsid w:val="006B6A67"/>
    <w:rsid w:val="006B7789"/>
    <w:rsid w:val="006C0686"/>
    <w:rsid w:val="006C171E"/>
    <w:rsid w:val="006C2CE7"/>
    <w:rsid w:val="006C4411"/>
    <w:rsid w:val="006C5E43"/>
    <w:rsid w:val="006C5FA5"/>
    <w:rsid w:val="006D11A2"/>
    <w:rsid w:val="006D43DA"/>
    <w:rsid w:val="006D4C41"/>
    <w:rsid w:val="006D554F"/>
    <w:rsid w:val="006D5556"/>
    <w:rsid w:val="006D5858"/>
    <w:rsid w:val="006D6AEB"/>
    <w:rsid w:val="006D76CD"/>
    <w:rsid w:val="006E2A2A"/>
    <w:rsid w:val="006E7B8B"/>
    <w:rsid w:val="006E7D71"/>
    <w:rsid w:val="006F0040"/>
    <w:rsid w:val="006F00FD"/>
    <w:rsid w:val="006F0380"/>
    <w:rsid w:val="006F04BF"/>
    <w:rsid w:val="006F2649"/>
    <w:rsid w:val="006F2856"/>
    <w:rsid w:val="006F29E1"/>
    <w:rsid w:val="006F66D9"/>
    <w:rsid w:val="006F6DAA"/>
    <w:rsid w:val="006F7ACB"/>
    <w:rsid w:val="00700409"/>
    <w:rsid w:val="00701704"/>
    <w:rsid w:val="00701F54"/>
    <w:rsid w:val="007021A0"/>
    <w:rsid w:val="00703455"/>
    <w:rsid w:val="007049A2"/>
    <w:rsid w:val="007051FC"/>
    <w:rsid w:val="0070601F"/>
    <w:rsid w:val="00707474"/>
    <w:rsid w:val="0071198F"/>
    <w:rsid w:val="00713303"/>
    <w:rsid w:val="00715635"/>
    <w:rsid w:val="00715D95"/>
    <w:rsid w:val="007179AB"/>
    <w:rsid w:val="007202D5"/>
    <w:rsid w:val="007227CD"/>
    <w:rsid w:val="007252B4"/>
    <w:rsid w:val="007259A7"/>
    <w:rsid w:val="0072699D"/>
    <w:rsid w:val="00726EAF"/>
    <w:rsid w:val="00727D40"/>
    <w:rsid w:val="00730A4F"/>
    <w:rsid w:val="00730D5E"/>
    <w:rsid w:val="00731506"/>
    <w:rsid w:val="007321EA"/>
    <w:rsid w:val="00732F2F"/>
    <w:rsid w:val="00733D36"/>
    <w:rsid w:val="00737283"/>
    <w:rsid w:val="00741109"/>
    <w:rsid w:val="0074208F"/>
    <w:rsid w:val="00742152"/>
    <w:rsid w:val="00742246"/>
    <w:rsid w:val="00742BCD"/>
    <w:rsid w:val="00743312"/>
    <w:rsid w:val="00743D99"/>
    <w:rsid w:val="007446BB"/>
    <w:rsid w:val="00744D60"/>
    <w:rsid w:val="00746420"/>
    <w:rsid w:val="00747CCE"/>
    <w:rsid w:val="00750568"/>
    <w:rsid w:val="00750F21"/>
    <w:rsid w:val="007533D1"/>
    <w:rsid w:val="00754CAF"/>
    <w:rsid w:val="00755ADE"/>
    <w:rsid w:val="0075742C"/>
    <w:rsid w:val="00757FFD"/>
    <w:rsid w:val="007605B4"/>
    <w:rsid w:val="0076069A"/>
    <w:rsid w:val="0076141C"/>
    <w:rsid w:val="00761543"/>
    <w:rsid w:val="007643FE"/>
    <w:rsid w:val="0076675A"/>
    <w:rsid w:val="007669C4"/>
    <w:rsid w:val="00767686"/>
    <w:rsid w:val="00767E63"/>
    <w:rsid w:val="00771DAA"/>
    <w:rsid w:val="00772A0E"/>
    <w:rsid w:val="007734A9"/>
    <w:rsid w:val="007744DC"/>
    <w:rsid w:val="007745D7"/>
    <w:rsid w:val="00774BEB"/>
    <w:rsid w:val="00776851"/>
    <w:rsid w:val="00777F1C"/>
    <w:rsid w:val="00780320"/>
    <w:rsid w:val="00780BF6"/>
    <w:rsid w:val="0078153A"/>
    <w:rsid w:val="00782460"/>
    <w:rsid w:val="00784A0A"/>
    <w:rsid w:val="0078577B"/>
    <w:rsid w:val="007868DF"/>
    <w:rsid w:val="00786C56"/>
    <w:rsid w:val="0078765D"/>
    <w:rsid w:val="00787C08"/>
    <w:rsid w:val="00791FF7"/>
    <w:rsid w:val="00792D76"/>
    <w:rsid w:val="007939D1"/>
    <w:rsid w:val="00795086"/>
    <w:rsid w:val="007959E2"/>
    <w:rsid w:val="007968D4"/>
    <w:rsid w:val="0079726F"/>
    <w:rsid w:val="007A0BEB"/>
    <w:rsid w:val="007A105B"/>
    <w:rsid w:val="007A2888"/>
    <w:rsid w:val="007A5850"/>
    <w:rsid w:val="007A630C"/>
    <w:rsid w:val="007B0C35"/>
    <w:rsid w:val="007B0D5E"/>
    <w:rsid w:val="007B25CF"/>
    <w:rsid w:val="007B4F0F"/>
    <w:rsid w:val="007B6003"/>
    <w:rsid w:val="007B61D2"/>
    <w:rsid w:val="007B676E"/>
    <w:rsid w:val="007B7CA4"/>
    <w:rsid w:val="007B7E2C"/>
    <w:rsid w:val="007C207F"/>
    <w:rsid w:val="007C3113"/>
    <w:rsid w:val="007C4AED"/>
    <w:rsid w:val="007C52BA"/>
    <w:rsid w:val="007C5E1A"/>
    <w:rsid w:val="007D35DD"/>
    <w:rsid w:val="007D49B6"/>
    <w:rsid w:val="007D51D8"/>
    <w:rsid w:val="007D6909"/>
    <w:rsid w:val="007D6A6C"/>
    <w:rsid w:val="007D7782"/>
    <w:rsid w:val="007E05FA"/>
    <w:rsid w:val="007E3FDA"/>
    <w:rsid w:val="007F1DC9"/>
    <w:rsid w:val="007F206D"/>
    <w:rsid w:val="007F46B1"/>
    <w:rsid w:val="007F4EC4"/>
    <w:rsid w:val="007F547E"/>
    <w:rsid w:val="007F68B5"/>
    <w:rsid w:val="007F6C82"/>
    <w:rsid w:val="00801ABF"/>
    <w:rsid w:val="0080295B"/>
    <w:rsid w:val="00803233"/>
    <w:rsid w:val="008044B3"/>
    <w:rsid w:val="00805E53"/>
    <w:rsid w:val="00805FF6"/>
    <w:rsid w:val="008074A3"/>
    <w:rsid w:val="00807660"/>
    <w:rsid w:val="00807F16"/>
    <w:rsid w:val="00810853"/>
    <w:rsid w:val="008108A1"/>
    <w:rsid w:val="00810908"/>
    <w:rsid w:val="00811F28"/>
    <w:rsid w:val="00811F3E"/>
    <w:rsid w:val="008129E7"/>
    <w:rsid w:val="00813535"/>
    <w:rsid w:val="00815BC5"/>
    <w:rsid w:val="0082051B"/>
    <w:rsid w:val="00821F9C"/>
    <w:rsid w:val="00822E74"/>
    <w:rsid w:val="00823880"/>
    <w:rsid w:val="0082417E"/>
    <w:rsid w:val="00824FAA"/>
    <w:rsid w:val="00825313"/>
    <w:rsid w:val="00826D30"/>
    <w:rsid w:val="00827737"/>
    <w:rsid w:val="00830F5D"/>
    <w:rsid w:val="0083267C"/>
    <w:rsid w:val="0083270C"/>
    <w:rsid w:val="0083441F"/>
    <w:rsid w:val="00835030"/>
    <w:rsid w:val="00835529"/>
    <w:rsid w:val="00840C7D"/>
    <w:rsid w:val="00841985"/>
    <w:rsid w:val="00841EE9"/>
    <w:rsid w:val="0084205F"/>
    <w:rsid w:val="00842161"/>
    <w:rsid w:val="00842F4D"/>
    <w:rsid w:val="00843095"/>
    <w:rsid w:val="00843802"/>
    <w:rsid w:val="00843B26"/>
    <w:rsid w:val="0084464E"/>
    <w:rsid w:val="00845251"/>
    <w:rsid w:val="0084591A"/>
    <w:rsid w:val="00846000"/>
    <w:rsid w:val="008476C3"/>
    <w:rsid w:val="00847A51"/>
    <w:rsid w:val="00852971"/>
    <w:rsid w:val="00852CF9"/>
    <w:rsid w:val="00852F14"/>
    <w:rsid w:val="008666AC"/>
    <w:rsid w:val="0086734F"/>
    <w:rsid w:val="00867621"/>
    <w:rsid w:val="00867B2C"/>
    <w:rsid w:val="0087143D"/>
    <w:rsid w:val="00872027"/>
    <w:rsid w:val="00872512"/>
    <w:rsid w:val="00872728"/>
    <w:rsid w:val="00874323"/>
    <w:rsid w:val="00874656"/>
    <w:rsid w:val="00874C05"/>
    <w:rsid w:val="00874F2F"/>
    <w:rsid w:val="00881667"/>
    <w:rsid w:val="008828F5"/>
    <w:rsid w:val="0088431D"/>
    <w:rsid w:val="00884AA0"/>
    <w:rsid w:val="00885DA5"/>
    <w:rsid w:val="0089107C"/>
    <w:rsid w:val="00891D2D"/>
    <w:rsid w:val="00891F46"/>
    <w:rsid w:val="00892272"/>
    <w:rsid w:val="0089229D"/>
    <w:rsid w:val="008929B5"/>
    <w:rsid w:val="00892EF5"/>
    <w:rsid w:val="0089392F"/>
    <w:rsid w:val="008939E4"/>
    <w:rsid w:val="008945EC"/>
    <w:rsid w:val="008951A4"/>
    <w:rsid w:val="00895291"/>
    <w:rsid w:val="008967E0"/>
    <w:rsid w:val="00896E7F"/>
    <w:rsid w:val="00897515"/>
    <w:rsid w:val="00897733"/>
    <w:rsid w:val="008A2B35"/>
    <w:rsid w:val="008A4572"/>
    <w:rsid w:val="008A46DF"/>
    <w:rsid w:val="008A74F0"/>
    <w:rsid w:val="008B082E"/>
    <w:rsid w:val="008B1082"/>
    <w:rsid w:val="008B22A4"/>
    <w:rsid w:val="008B27CB"/>
    <w:rsid w:val="008B3706"/>
    <w:rsid w:val="008B4126"/>
    <w:rsid w:val="008B5880"/>
    <w:rsid w:val="008B58A1"/>
    <w:rsid w:val="008B5F1A"/>
    <w:rsid w:val="008B7436"/>
    <w:rsid w:val="008C05F8"/>
    <w:rsid w:val="008C08DC"/>
    <w:rsid w:val="008C1578"/>
    <w:rsid w:val="008C3BED"/>
    <w:rsid w:val="008C76F9"/>
    <w:rsid w:val="008C7C51"/>
    <w:rsid w:val="008C7E92"/>
    <w:rsid w:val="008D008F"/>
    <w:rsid w:val="008D0133"/>
    <w:rsid w:val="008D4F5F"/>
    <w:rsid w:val="008D6ED8"/>
    <w:rsid w:val="008D7158"/>
    <w:rsid w:val="008D7200"/>
    <w:rsid w:val="008D754B"/>
    <w:rsid w:val="008E0F5A"/>
    <w:rsid w:val="008E1B1E"/>
    <w:rsid w:val="008E2669"/>
    <w:rsid w:val="008E2C58"/>
    <w:rsid w:val="008E702B"/>
    <w:rsid w:val="008F13B4"/>
    <w:rsid w:val="008F2815"/>
    <w:rsid w:val="008F2AE2"/>
    <w:rsid w:val="008F42C0"/>
    <w:rsid w:val="008F52CD"/>
    <w:rsid w:val="008F58BD"/>
    <w:rsid w:val="008F756D"/>
    <w:rsid w:val="00900A30"/>
    <w:rsid w:val="00906582"/>
    <w:rsid w:val="00906A4F"/>
    <w:rsid w:val="009118AC"/>
    <w:rsid w:val="009121E2"/>
    <w:rsid w:val="0091266E"/>
    <w:rsid w:val="00913415"/>
    <w:rsid w:val="0091381B"/>
    <w:rsid w:val="00914099"/>
    <w:rsid w:val="00914BBA"/>
    <w:rsid w:val="00914F89"/>
    <w:rsid w:val="0091631C"/>
    <w:rsid w:val="0091692C"/>
    <w:rsid w:val="0091700F"/>
    <w:rsid w:val="00920CBB"/>
    <w:rsid w:val="00923CBE"/>
    <w:rsid w:val="00924510"/>
    <w:rsid w:val="009249A8"/>
    <w:rsid w:val="00925479"/>
    <w:rsid w:val="009258FE"/>
    <w:rsid w:val="00926EE3"/>
    <w:rsid w:val="009274BA"/>
    <w:rsid w:val="00930B58"/>
    <w:rsid w:val="009311E6"/>
    <w:rsid w:val="009328A2"/>
    <w:rsid w:val="0093484E"/>
    <w:rsid w:val="00934976"/>
    <w:rsid w:val="009359F0"/>
    <w:rsid w:val="00936234"/>
    <w:rsid w:val="0094137A"/>
    <w:rsid w:val="00941E4F"/>
    <w:rsid w:val="00942120"/>
    <w:rsid w:val="00942131"/>
    <w:rsid w:val="0094272A"/>
    <w:rsid w:val="009430D9"/>
    <w:rsid w:val="009442E4"/>
    <w:rsid w:val="0094525D"/>
    <w:rsid w:val="009456FD"/>
    <w:rsid w:val="00945B86"/>
    <w:rsid w:val="0094606C"/>
    <w:rsid w:val="00946833"/>
    <w:rsid w:val="00947930"/>
    <w:rsid w:val="00952091"/>
    <w:rsid w:val="0095525B"/>
    <w:rsid w:val="00955C14"/>
    <w:rsid w:val="00955E00"/>
    <w:rsid w:val="00956543"/>
    <w:rsid w:val="00956F97"/>
    <w:rsid w:val="00957275"/>
    <w:rsid w:val="00957C11"/>
    <w:rsid w:val="00957D47"/>
    <w:rsid w:val="009601B4"/>
    <w:rsid w:val="00962123"/>
    <w:rsid w:val="00962A6D"/>
    <w:rsid w:val="00964976"/>
    <w:rsid w:val="009651DA"/>
    <w:rsid w:val="0096757E"/>
    <w:rsid w:val="009709F8"/>
    <w:rsid w:val="00970CDB"/>
    <w:rsid w:val="0097120F"/>
    <w:rsid w:val="0097211C"/>
    <w:rsid w:val="00972329"/>
    <w:rsid w:val="00973F50"/>
    <w:rsid w:val="00974790"/>
    <w:rsid w:val="00974F08"/>
    <w:rsid w:val="0097615D"/>
    <w:rsid w:val="00976FC0"/>
    <w:rsid w:val="00986A72"/>
    <w:rsid w:val="00986F56"/>
    <w:rsid w:val="00990073"/>
    <w:rsid w:val="0099049D"/>
    <w:rsid w:val="00991469"/>
    <w:rsid w:val="00992142"/>
    <w:rsid w:val="00994DE2"/>
    <w:rsid w:val="00995CBC"/>
    <w:rsid w:val="009965B5"/>
    <w:rsid w:val="009A022C"/>
    <w:rsid w:val="009A06EB"/>
    <w:rsid w:val="009A1D9F"/>
    <w:rsid w:val="009A27E8"/>
    <w:rsid w:val="009A3283"/>
    <w:rsid w:val="009A37EF"/>
    <w:rsid w:val="009A3EB2"/>
    <w:rsid w:val="009A4C82"/>
    <w:rsid w:val="009A52C2"/>
    <w:rsid w:val="009A6D10"/>
    <w:rsid w:val="009A77CB"/>
    <w:rsid w:val="009A79DB"/>
    <w:rsid w:val="009A7C7A"/>
    <w:rsid w:val="009B0430"/>
    <w:rsid w:val="009B3D41"/>
    <w:rsid w:val="009B3DD4"/>
    <w:rsid w:val="009B49EA"/>
    <w:rsid w:val="009B5943"/>
    <w:rsid w:val="009B6DC2"/>
    <w:rsid w:val="009B708E"/>
    <w:rsid w:val="009C061F"/>
    <w:rsid w:val="009C07C1"/>
    <w:rsid w:val="009C08EA"/>
    <w:rsid w:val="009C1077"/>
    <w:rsid w:val="009C1094"/>
    <w:rsid w:val="009C4439"/>
    <w:rsid w:val="009C580D"/>
    <w:rsid w:val="009C7C5B"/>
    <w:rsid w:val="009D13A9"/>
    <w:rsid w:val="009D21CA"/>
    <w:rsid w:val="009D22EE"/>
    <w:rsid w:val="009D4349"/>
    <w:rsid w:val="009D5632"/>
    <w:rsid w:val="009D7A58"/>
    <w:rsid w:val="009E0C2D"/>
    <w:rsid w:val="009E0EED"/>
    <w:rsid w:val="009E24C6"/>
    <w:rsid w:val="009E2939"/>
    <w:rsid w:val="009E2CC2"/>
    <w:rsid w:val="009E4F46"/>
    <w:rsid w:val="009E5945"/>
    <w:rsid w:val="009E6779"/>
    <w:rsid w:val="009E76F4"/>
    <w:rsid w:val="009F0C9D"/>
    <w:rsid w:val="009F0FFF"/>
    <w:rsid w:val="009F1641"/>
    <w:rsid w:val="009F20F3"/>
    <w:rsid w:val="009F2501"/>
    <w:rsid w:val="009F3416"/>
    <w:rsid w:val="009F36BD"/>
    <w:rsid w:val="009F5A3C"/>
    <w:rsid w:val="009F7B3F"/>
    <w:rsid w:val="00A0000F"/>
    <w:rsid w:val="00A00387"/>
    <w:rsid w:val="00A03053"/>
    <w:rsid w:val="00A03164"/>
    <w:rsid w:val="00A03B1E"/>
    <w:rsid w:val="00A03D03"/>
    <w:rsid w:val="00A046DC"/>
    <w:rsid w:val="00A070AE"/>
    <w:rsid w:val="00A07C24"/>
    <w:rsid w:val="00A12294"/>
    <w:rsid w:val="00A12E74"/>
    <w:rsid w:val="00A13471"/>
    <w:rsid w:val="00A147F3"/>
    <w:rsid w:val="00A16078"/>
    <w:rsid w:val="00A16562"/>
    <w:rsid w:val="00A20AED"/>
    <w:rsid w:val="00A20F3B"/>
    <w:rsid w:val="00A2220E"/>
    <w:rsid w:val="00A232C4"/>
    <w:rsid w:val="00A24A73"/>
    <w:rsid w:val="00A2553C"/>
    <w:rsid w:val="00A255FA"/>
    <w:rsid w:val="00A26B00"/>
    <w:rsid w:val="00A27B99"/>
    <w:rsid w:val="00A32DCA"/>
    <w:rsid w:val="00A357D8"/>
    <w:rsid w:val="00A363DD"/>
    <w:rsid w:val="00A368B9"/>
    <w:rsid w:val="00A369A9"/>
    <w:rsid w:val="00A376DD"/>
    <w:rsid w:val="00A4089E"/>
    <w:rsid w:val="00A40B6C"/>
    <w:rsid w:val="00A421FB"/>
    <w:rsid w:val="00A4371D"/>
    <w:rsid w:val="00A43D72"/>
    <w:rsid w:val="00A441B8"/>
    <w:rsid w:val="00A45C3B"/>
    <w:rsid w:val="00A463A7"/>
    <w:rsid w:val="00A47C63"/>
    <w:rsid w:val="00A50DF5"/>
    <w:rsid w:val="00A50EF2"/>
    <w:rsid w:val="00A51A15"/>
    <w:rsid w:val="00A52772"/>
    <w:rsid w:val="00A57775"/>
    <w:rsid w:val="00A61493"/>
    <w:rsid w:val="00A6421C"/>
    <w:rsid w:val="00A66AB5"/>
    <w:rsid w:val="00A703D2"/>
    <w:rsid w:val="00A71D2A"/>
    <w:rsid w:val="00A720E9"/>
    <w:rsid w:val="00A742AF"/>
    <w:rsid w:val="00A742F9"/>
    <w:rsid w:val="00A7670A"/>
    <w:rsid w:val="00A85D6D"/>
    <w:rsid w:val="00A8791A"/>
    <w:rsid w:val="00A9159A"/>
    <w:rsid w:val="00A9251C"/>
    <w:rsid w:val="00A93423"/>
    <w:rsid w:val="00A93624"/>
    <w:rsid w:val="00A9389A"/>
    <w:rsid w:val="00A95777"/>
    <w:rsid w:val="00A96489"/>
    <w:rsid w:val="00A97361"/>
    <w:rsid w:val="00AA07C9"/>
    <w:rsid w:val="00AA1648"/>
    <w:rsid w:val="00AA1849"/>
    <w:rsid w:val="00AA239A"/>
    <w:rsid w:val="00AA3106"/>
    <w:rsid w:val="00AA3734"/>
    <w:rsid w:val="00AA3F30"/>
    <w:rsid w:val="00AA48FD"/>
    <w:rsid w:val="00AA6D00"/>
    <w:rsid w:val="00AA7482"/>
    <w:rsid w:val="00AB0476"/>
    <w:rsid w:val="00AB1D58"/>
    <w:rsid w:val="00AB2133"/>
    <w:rsid w:val="00AB5226"/>
    <w:rsid w:val="00AB52B4"/>
    <w:rsid w:val="00AB535F"/>
    <w:rsid w:val="00AB5538"/>
    <w:rsid w:val="00AB5D88"/>
    <w:rsid w:val="00AB7799"/>
    <w:rsid w:val="00AB7B90"/>
    <w:rsid w:val="00AB7CF2"/>
    <w:rsid w:val="00AC0C79"/>
    <w:rsid w:val="00AC126A"/>
    <w:rsid w:val="00AC28BA"/>
    <w:rsid w:val="00AC2DAD"/>
    <w:rsid w:val="00AC3639"/>
    <w:rsid w:val="00AC4087"/>
    <w:rsid w:val="00AC43A6"/>
    <w:rsid w:val="00AC49EF"/>
    <w:rsid w:val="00AC6189"/>
    <w:rsid w:val="00AC7AC2"/>
    <w:rsid w:val="00AD08E8"/>
    <w:rsid w:val="00AD0C1B"/>
    <w:rsid w:val="00AD0CDF"/>
    <w:rsid w:val="00AD1B58"/>
    <w:rsid w:val="00AD285F"/>
    <w:rsid w:val="00AD56DA"/>
    <w:rsid w:val="00AD57E2"/>
    <w:rsid w:val="00AD6442"/>
    <w:rsid w:val="00AD7960"/>
    <w:rsid w:val="00AE124C"/>
    <w:rsid w:val="00AE4D5E"/>
    <w:rsid w:val="00AE618D"/>
    <w:rsid w:val="00AE620C"/>
    <w:rsid w:val="00AE6797"/>
    <w:rsid w:val="00AE6AB5"/>
    <w:rsid w:val="00AE7543"/>
    <w:rsid w:val="00AE7629"/>
    <w:rsid w:val="00AF59CE"/>
    <w:rsid w:val="00AF7A32"/>
    <w:rsid w:val="00B0028F"/>
    <w:rsid w:val="00B00D8F"/>
    <w:rsid w:val="00B02CB4"/>
    <w:rsid w:val="00B0631B"/>
    <w:rsid w:val="00B0639E"/>
    <w:rsid w:val="00B10B39"/>
    <w:rsid w:val="00B12201"/>
    <w:rsid w:val="00B1267E"/>
    <w:rsid w:val="00B12D5A"/>
    <w:rsid w:val="00B12E47"/>
    <w:rsid w:val="00B135DB"/>
    <w:rsid w:val="00B13A8C"/>
    <w:rsid w:val="00B14BB0"/>
    <w:rsid w:val="00B15716"/>
    <w:rsid w:val="00B16BED"/>
    <w:rsid w:val="00B177E8"/>
    <w:rsid w:val="00B207B5"/>
    <w:rsid w:val="00B21059"/>
    <w:rsid w:val="00B213B6"/>
    <w:rsid w:val="00B23C1B"/>
    <w:rsid w:val="00B25812"/>
    <w:rsid w:val="00B27AB8"/>
    <w:rsid w:val="00B31537"/>
    <w:rsid w:val="00B3327F"/>
    <w:rsid w:val="00B34641"/>
    <w:rsid w:val="00B34B32"/>
    <w:rsid w:val="00B35375"/>
    <w:rsid w:val="00B36C79"/>
    <w:rsid w:val="00B43900"/>
    <w:rsid w:val="00B4689C"/>
    <w:rsid w:val="00B47C2A"/>
    <w:rsid w:val="00B50675"/>
    <w:rsid w:val="00B52215"/>
    <w:rsid w:val="00B540DD"/>
    <w:rsid w:val="00B55245"/>
    <w:rsid w:val="00B5636B"/>
    <w:rsid w:val="00B57478"/>
    <w:rsid w:val="00B63EFB"/>
    <w:rsid w:val="00B64792"/>
    <w:rsid w:val="00B64D2C"/>
    <w:rsid w:val="00B653F8"/>
    <w:rsid w:val="00B66416"/>
    <w:rsid w:val="00B67FE2"/>
    <w:rsid w:val="00B7047C"/>
    <w:rsid w:val="00B7140E"/>
    <w:rsid w:val="00B71F05"/>
    <w:rsid w:val="00B72F13"/>
    <w:rsid w:val="00B7321E"/>
    <w:rsid w:val="00B7371E"/>
    <w:rsid w:val="00B751AE"/>
    <w:rsid w:val="00B759E8"/>
    <w:rsid w:val="00B75CAC"/>
    <w:rsid w:val="00B76E66"/>
    <w:rsid w:val="00B7779A"/>
    <w:rsid w:val="00B80505"/>
    <w:rsid w:val="00B820CB"/>
    <w:rsid w:val="00B86261"/>
    <w:rsid w:val="00B90686"/>
    <w:rsid w:val="00B9094E"/>
    <w:rsid w:val="00B91AB3"/>
    <w:rsid w:val="00B937C0"/>
    <w:rsid w:val="00B94420"/>
    <w:rsid w:val="00B94AAD"/>
    <w:rsid w:val="00B95947"/>
    <w:rsid w:val="00B968F5"/>
    <w:rsid w:val="00B96B4D"/>
    <w:rsid w:val="00B96DC9"/>
    <w:rsid w:val="00B97E62"/>
    <w:rsid w:val="00BA0C8A"/>
    <w:rsid w:val="00BA186D"/>
    <w:rsid w:val="00BA268B"/>
    <w:rsid w:val="00BA6374"/>
    <w:rsid w:val="00BB454A"/>
    <w:rsid w:val="00BB458F"/>
    <w:rsid w:val="00BB4A25"/>
    <w:rsid w:val="00BB517C"/>
    <w:rsid w:val="00BC14C8"/>
    <w:rsid w:val="00BC1638"/>
    <w:rsid w:val="00BC3079"/>
    <w:rsid w:val="00BC30C2"/>
    <w:rsid w:val="00BC31F9"/>
    <w:rsid w:val="00BC3478"/>
    <w:rsid w:val="00BC492F"/>
    <w:rsid w:val="00BC5373"/>
    <w:rsid w:val="00BC5E2A"/>
    <w:rsid w:val="00BC70E6"/>
    <w:rsid w:val="00BC7423"/>
    <w:rsid w:val="00BC769D"/>
    <w:rsid w:val="00BD1FB2"/>
    <w:rsid w:val="00BD22C2"/>
    <w:rsid w:val="00BD2FF6"/>
    <w:rsid w:val="00BD4483"/>
    <w:rsid w:val="00BD4A19"/>
    <w:rsid w:val="00BD4F9B"/>
    <w:rsid w:val="00BD57E9"/>
    <w:rsid w:val="00BD62E8"/>
    <w:rsid w:val="00BD756E"/>
    <w:rsid w:val="00BE06F5"/>
    <w:rsid w:val="00BE0906"/>
    <w:rsid w:val="00BE0D24"/>
    <w:rsid w:val="00BE1BAE"/>
    <w:rsid w:val="00BE3CA7"/>
    <w:rsid w:val="00BE4395"/>
    <w:rsid w:val="00BE541D"/>
    <w:rsid w:val="00BE5E6A"/>
    <w:rsid w:val="00BE794E"/>
    <w:rsid w:val="00BF0747"/>
    <w:rsid w:val="00BF09AA"/>
    <w:rsid w:val="00BF1620"/>
    <w:rsid w:val="00BF2AFD"/>
    <w:rsid w:val="00BF3378"/>
    <w:rsid w:val="00BF34C2"/>
    <w:rsid w:val="00BF3583"/>
    <w:rsid w:val="00BF6CF3"/>
    <w:rsid w:val="00C005E2"/>
    <w:rsid w:val="00C00FAF"/>
    <w:rsid w:val="00C012A6"/>
    <w:rsid w:val="00C01717"/>
    <w:rsid w:val="00C022D7"/>
    <w:rsid w:val="00C03F04"/>
    <w:rsid w:val="00C0451A"/>
    <w:rsid w:val="00C04800"/>
    <w:rsid w:val="00C04C8E"/>
    <w:rsid w:val="00C056CA"/>
    <w:rsid w:val="00C058C4"/>
    <w:rsid w:val="00C05DB7"/>
    <w:rsid w:val="00C06BBA"/>
    <w:rsid w:val="00C1064B"/>
    <w:rsid w:val="00C109F4"/>
    <w:rsid w:val="00C1360B"/>
    <w:rsid w:val="00C1725F"/>
    <w:rsid w:val="00C179F0"/>
    <w:rsid w:val="00C213BD"/>
    <w:rsid w:val="00C224E3"/>
    <w:rsid w:val="00C22AC2"/>
    <w:rsid w:val="00C22CB5"/>
    <w:rsid w:val="00C23488"/>
    <w:rsid w:val="00C269A7"/>
    <w:rsid w:val="00C26C4D"/>
    <w:rsid w:val="00C2709E"/>
    <w:rsid w:val="00C27E49"/>
    <w:rsid w:val="00C32F13"/>
    <w:rsid w:val="00C34577"/>
    <w:rsid w:val="00C3498B"/>
    <w:rsid w:val="00C34D31"/>
    <w:rsid w:val="00C35889"/>
    <w:rsid w:val="00C35B0F"/>
    <w:rsid w:val="00C362B6"/>
    <w:rsid w:val="00C367F7"/>
    <w:rsid w:val="00C37427"/>
    <w:rsid w:val="00C40FA8"/>
    <w:rsid w:val="00C41EE4"/>
    <w:rsid w:val="00C43F59"/>
    <w:rsid w:val="00C440D0"/>
    <w:rsid w:val="00C442EA"/>
    <w:rsid w:val="00C44303"/>
    <w:rsid w:val="00C445D2"/>
    <w:rsid w:val="00C45C7D"/>
    <w:rsid w:val="00C47124"/>
    <w:rsid w:val="00C509B8"/>
    <w:rsid w:val="00C51257"/>
    <w:rsid w:val="00C524DB"/>
    <w:rsid w:val="00C52A3F"/>
    <w:rsid w:val="00C52E96"/>
    <w:rsid w:val="00C55B80"/>
    <w:rsid w:val="00C5691A"/>
    <w:rsid w:val="00C57BF7"/>
    <w:rsid w:val="00C6005F"/>
    <w:rsid w:val="00C60396"/>
    <w:rsid w:val="00C605AF"/>
    <w:rsid w:val="00C60D1E"/>
    <w:rsid w:val="00C60EA4"/>
    <w:rsid w:val="00C621F3"/>
    <w:rsid w:val="00C63E03"/>
    <w:rsid w:val="00C63EEE"/>
    <w:rsid w:val="00C64D1B"/>
    <w:rsid w:val="00C669E8"/>
    <w:rsid w:val="00C66E24"/>
    <w:rsid w:val="00C67FF0"/>
    <w:rsid w:val="00C72D20"/>
    <w:rsid w:val="00C745B2"/>
    <w:rsid w:val="00C74C9A"/>
    <w:rsid w:val="00C74E1A"/>
    <w:rsid w:val="00C75C3E"/>
    <w:rsid w:val="00C765F4"/>
    <w:rsid w:val="00C76E2E"/>
    <w:rsid w:val="00C80C02"/>
    <w:rsid w:val="00C810D5"/>
    <w:rsid w:val="00C81505"/>
    <w:rsid w:val="00C821AE"/>
    <w:rsid w:val="00C82507"/>
    <w:rsid w:val="00C85217"/>
    <w:rsid w:val="00C8543C"/>
    <w:rsid w:val="00C86352"/>
    <w:rsid w:val="00C863C9"/>
    <w:rsid w:val="00C87D3E"/>
    <w:rsid w:val="00C905E8"/>
    <w:rsid w:val="00C90E68"/>
    <w:rsid w:val="00C932D0"/>
    <w:rsid w:val="00C96BD6"/>
    <w:rsid w:val="00C96D95"/>
    <w:rsid w:val="00C97262"/>
    <w:rsid w:val="00C976F0"/>
    <w:rsid w:val="00C9779B"/>
    <w:rsid w:val="00CA1939"/>
    <w:rsid w:val="00CA2B3C"/>
    <w:rsid w:val="00CA2E98"/>
    <w:rsid w:val="00CA4433"/>
    <w:rsid w:val="00CA4B04"/>
    <w:rsid w:val="00CA5706"/>
    <w:rsid w:val="00CA58B9"/>
    <w:rsid w:val="00CA5FD9"/>
    <w:rsid w:val="00CA63FB"/>
    <w:rsid w:val="00CA653C"/>
    <w:rsid w:val="00CA741B"/>
    <w:rsid w:val="00CA74AB"/>
    <w:rsid w:val="00CA78F6"/>
    <w:rsid w:val="00CB1592"/>
    <w:rsid w:val="00CB2B37"/>
    <w:rsid w:val="00CB2F4B"/>
    <w:rsid w:val="00CB36A6"/>
    <w:rsid w:val="00CB529C"/>
    <w:rsid w:val="00CB6613"/>
    <w:rsid w:val="00CC2464"/>
    <w:rsid w:val="00CC2DDB"/>
    <w:rsid w:val="00CC4A16"/>
    <w:rsid w:val="00CC4C26"/>
    <w:rsid w:val="00CC4DAA"/>
    <w:rsid w:val="00CC51B9"/>
    <w:rsid w:val="00CC66CE"/>
    <w:rsid w:val="00CC7C4B"/>
    <w:rsid w:val="00CD0F3E"/>
    <w:rsid w:val="00CD0F78"/>
    <w:rsid w:val="00CD30DD"/>
    <w:rsid w:val="00CD3770"/>
    <w:rsid w:val="00CD45C6"/>
    <w:rsid w:val="00CD47F3"/>
    <w:rsid w:val="00CD7105"/>
    <w:rsid w:val="00CD7E81"/>
    <w:rsid w:val="00CD7E8E"/>
    <w:rsid w:val="00CE04F8"/>
    <w:rsid w:val="00CE11FE"/>
    <w:rsid w:val="00CE14BA"/>
    <w:rsid w:val="00CE309B"/>
    <w:rsid w:val="00CE3348"/>
    <w:rsid w:val="00CE3EED"/>
    <w:rsid w:val="00CE3F4D"/>
    <w:rsid w:val="00CF07CA"/>
    <w:rsid w:val="00CF0A6C"/>
    <w:rsid w:val="00CF2A72"/>
    <w:rsid w:val="00CF4174"/>
    <w:rsid w:val="00CF4937"/>
    <w:rsid w:val="00CF51BC"/>
    <w:rsid w:val="00CF52F4"/>
    <w:rsid w:val="00CF710C"/>
    <w:rsid w:val="00CF7826"/>
    <w:rsid w:val="00CF7CF0"/>
    <w:rsid w:val="00D00D6C"/>
    <w:rsid w:val="00D01F34"/>
    <w:rsid w:val="00D03CCF"/>
    <w:rsid w:val="00D05380"/>
    <w:rsid w:val="00D05AE3"/>
    <w:rsid w:val="00D065A8"/>
    <w:rsid w:val="00D066B3"/>
    <w:rsid w:val="00D06A85"/>
    <w:rsid w:val="00D11A49"/>
    <w:rsid w:val="00D123F8"/>
    <w:rsid w:val="00D12A64"/>
    <w:rsid w:val="00D13BB9"/>
    <w:rsid w:val="00D14E4A"/>
    <w:rsid w:val="00D16E6F"/>
    <w:rsid w:val="00D1715D"/>
    <w:rsid w:val="00D1757D"/>
    <w:rsid w:val="00D179C3"/>
    <w:rsid w:val="00D201E3"/>
    <w:rsid w:val="00D210AE"/>
    <w:rsid w:val="00D21475"/>
    <w:rsid w:val="00D21D8A"/>
    <w:rsid w:val="00D22DB5"/>
    <w:rsid w:val="00D23757"/>
    <w:rsid w:val="00D250E5"/>
    <w:rsid w:val="00D31091"/>
    <w:rsid w:val="00D33819"/>
    <w:rsid w:val="00D37319"/>
    <w:rsid w:val="00D37826"/>
    <w:rsid w:val="00D4133E"/>
    <w:rsid w:val="00D413DF"/>
    <w:rsid w:val="00D42D6B"/>
    <w:rsid w:val="00D45895"/>
    <w:rsid w:val="00D468B3"/>
    <w:rsid w:val="00D46EC8"/>
    <w:rsid w:val="00D5032C"/>
    <w:rsid w:val="00D514F8"/>
    <w:rsid w:val="00D5350A"/>
    <w:rsid w:val="00D5373F"/>
    <w:rsid w:val="00D53932"/>
    <w:rsid w:val="00D54221"/>
    <w:rsid w:val="00D546F4"/>
    <w:rsid w:val="00D55153"/>
    <w:rsid w:val="00D551DF"/>
    <w:rsid w:val="00D55AC3"/>
    <w:rsid w:val="00D560E9"/>
    <w:rsid w:val="00D56DB2"/>
    <w:rsid w:val="00D573D5"/>
    <w:rsid w:val="00D576D6"/>
    <w:rsid w:val="00D5773B"/>
    <w:rsid w:val="00D619B7"/>
    <w:rsid w:val="00D61C89"/>
    <w:rsid w:val="00D622B6"/>
    <w:rsid w:val="00D62D78"/>
    <w:rsid w:val="00D637DA"/>
    <w:rsid w:val="00D65576"/>
    <w:rsid w:val="00D66655"/>
    <w:rsid w:val="00D6723E"/>
    <w:rsid w:val="00D7059D"/>
    <w:rsid w:val="00D70725"/>
    <w:rsid w:val="00D71EFF"/>
    <w:rsid w:val="00D72B1E"/>
    <w:rsid w:val="00D734FA"/>
    <w:rsid w:val="00D7464E"/>
    <w:rsid w:val="00D758ED"/>
    <w:rsid w:val="00D76503"/>
    <w:rsid w:val="00D76B0B"/>
    <w:rsid w:val="00D770B9"/>
    <w:rsid w:val="00D7763E"/>
    <w:rsid w:val="00D80272"/>
    <w:rsid w:val="00D810C9"/>
    <w:rsid w:val="00D82CF3"/>
    <w:rsid w:val="00D8477E"/>
    <w:rsid w:val="00D84C00"/>
    <w:rsid w:val="00D8659B"/>
    <w:rsid w:val="00D86985"/>
    <w:rsid w:val="00D86C9C"/>
    <w:rsid w:val="00D86FFC"/>
    <w:rsid w:val="00D90B33"/>
    <w:rsid w:val="00D9261D"/>
    <w:rsid w:val="00D9466D"/>
    <w:rsid w:val="00D94A3F"/>
    <w:rsid w:val="00D94C1C"/>
    <w:rsid w:val="00D95BFE"/>
    <w:rsid w:val="00DA1899"/>
    <w:rsid w:val="00DA6469"/>
    <w:rsid w:val="00DA70B6"/>
    <w:rsid w:val="00DB0667"/>
    <w:rsid w:val="00DB1FEF"/>
    <w:rsid w:val="00DB309B"/>
    <w:rsid w:val="00DB6093"/>
    <w:rsid w:val="00DC0FC3"/>
    <w:rsid w:val="00DC1D15"/>
    <w:rsid w:val="00DC2052"/>
    <w:rsid w:val="00DC22C9"/>
    <w:rsid w:val="00DC267B"/>
    <w:rsid w:val="00DC2B9F"/>
    <w:rsid w:val="00DC4758"/>
    <w:rsid w:val="00DC596B"/>
    <w:rsid w:val="00DD2E99"/>
    <w:rsid w:val="00DD5521"/>
    <w:rsid w:val="00DD78DE"/>
    <w:rsid w:val="00DE1BDF"/>
    <w:rsid w:val="00DF1055"/>
    <w:rsid w:val="00DF17FE"/>
    <w:rsid w:val="00DF2F2C"/>
    <w:rsid w:val="00DF6312"/>
    <w:rsid w:val="00DF6767"/>
    <w:rsid w:val="00DF78FC"/>
    <w:rsid w:val="00E00493"/>
    <w:rsid w:val="00E00BF2"/>
    <w:rsid w:val="00E01AA5"/>
    <w:rsid w:val="00E01CB5"/>
    <w:rsid w:val="00E043A5"/>
    <w:rsid w:val="00E04A8B"/>
    <w:rsid w:val="00E06127"/>
    <w:rsid w:val="00E071A9"/>
    <w:rsid w:val="00E079AC"/>
    <w:rsid w:val="00E10279"/>
    <w:rsid w:val="00E1027E"/>
    <w:rsid w:val="00E1058E"/>
    <w:rsid w:val="00E12371"/>
    <w:rsid w:val="00E12699"/>
    <w:rsid w:val="00E1290B"/>
    <w:rsid w:val="00E15FC5"/>
    <w:rsid w:val="00E1676A"/>
    <w:rsid w:val="00E17541"/>
    <w:rsid w:val="00E17609"/>
    <w:rsid w:val="00E176BE"/>
    <w:rsid w:val="00E20026"/>
    <w:rsid w:val="00E2060C"/>
    <w:rsid w:val="00E21371"/>
    <w:rsid w:val="00E21665"/>
    <w:rsid w:val="00E23150"/>
    <w:rsid w:val="00E2379E"/>
    <w:rsid w:val="00E2455D"/>
    <w:rsid w:val="00E24D54"/>
    <w:rsid w:val="00E24EB8"/>
    <w:rsid w:val="00E25CCB"/>
    <w:rsid w:val="00E25E7D"/>
    <w:rsid w:val="00E26F3F"/>
    <w:rsid w:val="00E27763"/>
    <w:rsid w:val="00E27B36"/>
    <w:rsid w:val="00E31922"/>
    <w:rsid w:val="00E33C88"/>
    <w:rsid w:val="00E341CB"/>
    <w:rsid w:val="00E3501D"/>
    <w:rsid w:val="00E352B7"/>
    <w:rsid w:val="00E358FB"/>
    <w:rsid w:val="00E379B6"/>
    <w:rsid w:val="00E406F5"/>
    <w:rsid w:val="00E41AA0"/>
    <w:rsid w:val="00E41F40"/>
    <w:rsid w:val="00E429CA"/>
    <w:rsid w:val="00E42AE9"/>
    <w:rsid w:val="00E4321F"/>
    <w:rsid w:val="00E44177"/>
    <w:rsid w:val="00E51FB7"/>
    <w:rsid w:val="00E523E3"/>
    <w:rsid w:val="00E527EE"/>
    <w:rsid w:val="00E52CF6"/>
    <w:rsid w:val="00E52D18"/>
    <w:rsid w:val="00E53B30"/>
    <w:rsid w:val="00E54216"/>
    <w:rsid w:val="00E551DE"/>
    <w:rsid w:val="00E55545"/>
    <w:rsid w:val="00E55739"/>
    <w:rsid w:val="00E6139C"/>
    <w:rsid w:val="00E62032"/>
    <w:rsid w:val="00E6204D"/>
    <w:rsid w:val="00E626C4"/>
    <w:rsid w:val="00E63833"/>
    <w:rsid w:val="00E66506"/>
    <w:rsid w:val="00E67667"/>
    <w:rsid w:val="00E718A2"/>
    <w:rsid w:val="00E71B36"/>
    <w:rsid w:val="00E723D3"/>
    <w:rsid w:val="00E73153"/>
    <w:rsid w:val="00E76CFF"/>
    <w:rsid w:val="00E77865"/>
    <w:rsid w:val="00E77BC0"/>
    <w:rsid w:val="00E80B1C"/>
    <w:rsid w:val="00E820AE"/>
    <w:rsid w:val="00E829C6"/>
    <w:rsid w:val="00E8346F"/>
    <w:rsid w:val="00E83AE2"/>
    <w:rsid w:val="00E90CF0"/>
    <w:rsid w:val="00E915B0"/>
    <w:rsid w:val="00E91F71"/>
    <w:rsid w:val="00E922F4"/>
    <w:rsid w:val="00E93699"/>
    <w:rsid w:val="00E93FE7"/>
    <w:rsid w:val="00E94252"/>
    <w:rsid w:val="00E94FC7"/>
    <w:rsid w:val="00E9706D"/>
    <w:rsid w:val="00EA0156"/>
    <w:rsid w:val="00EA1521"/>
    <w:rsid w:val="00EA1FE4"/>
    <w:rsid w:val="00EA2B1B"/>
    <w:rsid w:val="00EA3227"/>
    <w:rsid w:val="00EA3EDD"/>
    <w:rsid w:val="00EA6812"/>
    <w:rsid w:val="00EB02A4"/>
    <w:rsid w:val="00EB0FD0"/>
    <w:rsid w:val="00EB1BA3"/>
    <w:rsid w:val="00EB3B4E"/>
    <w:rsid w:val="00EB45C1"/>
    <w:rsid w:val="00EB5532"/>
    <w:rsid w:val="00EB7CE1"/>
    <w:rsid w:val="00EB7F22"/>
    <w:rsid w:val="00EC08F2"/>
    <w:rsid w:val="00EC4BE8"/>
    <w:rsid w:val="00EC5858"/>
    <w:rsid w:val="00ED0A2D"/>
    <w:rsid w:val="00ED1354"/>
    <w:rsid w:val="00ED29DE"/>
    <w:rsid w:val="00ED4E58"/>
    <w:rsid w:val="00ED5042"/>
    <w:rsid w:val="00ED510C"/>
    <w:rsid w:val="00ED5977"/>
    <w:rsid w:val="00ED60BC"/>
    <w:rsid w:val="00ED755B"/>
    <w:rsid w:val="00ED7954"/>
    <w:rsid w:val="00ED799A"/>
    <w:rsid w:val="00ED7EFD"/>
    <w:rsid w:val="00EE15DF"/>
    <w:rsid w:val="00EE1E89"/>
    <w:rsid w:val="00EE262F"/>
    <w:rsid w:val="00EE3E44"/>
    <w:rsid w:val="00EE4427"/>
    <w:rsid w:val="00EE4EE9"/>
    <w:rsid w:val="00EE594D"/>
    <w:rsid w:val="00EE5CF6"/>
    <w:rsid w:val="00EE5F9B"/>
    <w:rsid w:val="00EE6334"/>
    <w:rsid w:val="00EE7349"/>
    <w:rsid w:val="00EE740F"/>
    <w:rsid w:val="00EE7D59"/>
    <w:rsid w:val="00EF0D5E"/>
    <w:rsid w:val="00EF1AA2"/>
    <w:rsid w:val="00EF3F51"/>
    <w:rsid w:val="00EF551D"/>
    <w:rsid w:val="00EF6956"/>
    <w:rsid w:val="00EF732C"/>
    <w:rsid w:val="00F009B3"/>
    <w:rsid w:val="00F01DAC"/>
    <w:rsid w:val="00F0322F"/>
    <w:rsid w:val="00F049FD"/>
    <w:rsid w:val="00F058AD"/>
    <w:rsid w:val="00F06904"/>
    <w:rsid w:val="00F10A1F"/>
    <w:rsid w:val="00F11608"/>
    <w:rsid w:val="00F124D5"/>
    <w:rsid w:val="00F12FDF"/>
    <w:rsid w:val="00F14136"/>
    <w:rsid w:val="00F166B3"/>
    <w:rsid w:val="00F16D43"/>
    <w:rsid w:val="00F17395"/>
    <w:rsid w:val="00F17A5D"/>
    <w:rsid w:val="00F206B8"/>
    <w:rsid w:val="00F210BC"/>
    <w:rsid w:val="00F2135D"/>
    <w:rsid w:val="00F215E9"/>
    <w:rsid w:val="00F229CE"/>
    <w:rsid w:val="00F24BB6"/>
    <w:rsid w:val="00F254A3"/>
    <w:rsid w:val="00F25943"/>
    <w:rsid w:val="00F306C0"/>
    <w:rsid w:val="00F30A6F"/>
    <w:rsid w:val="00F30D42"/>
    <w:rsid w:val="00F32C77"/>
    <w:rsid w:val="00F33614"/>
    <w:rsid w:val="00F33615"/>
    <w:rsid w:val="00F354E2"/>
    <w:rsid w:val="00F35720"/>
    <w:rsid w:val="00F40956"/>
    <w:rsid w:val="00F4201A"/>
    <w:rsid w:val="00F42705"/>
    <w:rsid w:val="00F42DF8"/>
    <w:rsid w:val="00F44FDD"/>
    <w:rsid w:val="00F452AB"/>
    <w:rsid w:val="00F45BA0"/>
    <w:rsid w:val="00F4643A"/>
    <w:rsid w:val="00F4673B"/>
    <w:rsid w:val="00F4755F"/>
    <w:rsid w:val="00F50A8E"/>
    <w:rsid w:val="00F51DA9"/>
    <w:rsid w:val="00F52E18"/>
    <w:rsid w:val="00F53CED"/>
    <w:rsid w:val="00F53D0B"/>
    <w:rsid w:val="00F5683C"/>
    <w:rsid w:val="00F57EF5"/>
    <w:rsid w:val="00F603EA"/>
    <w:rsid w:val="00F6158A"/>
    <w:rsid w:val="00F66BA3"/>
    <w:rsid w:val="00F70CC7"/>
    <w:rsid w:val="00F71B77"/>
    <w:rsid w:val="00F71D77"/>
    <w:rsid w:val="00F7546F"/>
    <w:rsid w:val="00F75759"/>
    <w:rsid w:val="00F806DB"/>
    <w:rsid w:val="00F80DCD"/>
    <w:rsid w:val="00F81FEC"/>
    <w:rsid w:val="00F83A54"/>
    <w:rsid w:val="00F8609A"/>
    <w:rsid w:val="00F86B93"/>
    <w:rsid w:val="00F9137E"/>
    <w:rsid w:val="00F93FC9"/>
    <w:rsid w:val="00F96DAF"/>
    <w:rsid w:val="00F97934"/>
    <w:rsid w:val="00FA03C5"/>
    <w:rsid w:val="00FA0B6E"/>
    <w:rsid w:val="00FA2FA7"/>
    <w:rsid w:val="00FA4398"/>
    <w:rsid w:val="00FA4B08"/>
    <w:rsid w:val="00FB094A"/>
    <w:rsid w:val="00FB3AE1"/>
    <w:rsid w:val="00FB6706"/>
    <w:rsid w:val="00FB7182"/>
    <w:rsid w:val="00FC1744"/>
    <w:rsid w:val="00FC1F2B"/>
    <w:rsid w:val="00FC2772"/>
    <w:rsid w:val="00FC2ED2"/>
    <w:rsid w:val="00FC3735"/>
    <w:rsid w:val="00FC3763"/>
    <w:rsid w:val="00FC47B6"/>
    <w:rsid w:val="00FC69C5"/>
    <w:rsid w:val="00FD13BF"/>
    <w:rsid w:val="00FD2426"/>
    <w:rsid w:val="00FD2648"/>
    <w:rsid w:val="00FD400F"/>
    <w:rsid w:val="00FD57F0"/>
    <w:rsid w:val="00FD6856"/>
    <w:rsid w:val="00FD77E5"/>
    <w:rsid w:val="00FE08A6"/>
    <w:rsid w:val="00FE1FFA"/>
    <w:rsid w:val="00FE4DA4"/>
    <w:rsid w:val="00FE51B1"/>
    <w:rsid w:val="00FE61FB"/>
    <w:rsid w:val="00FE770C"/>
    <w:rsid w:val="00FF0D77"/>
    <w:rsid w:val="00FF0F08"/>
    <w:rsid w:val="00FF6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0f0f4"/>
    </o:shapedefaults>
    <o:shapelayout v:ext="edit">
      <o:idmap v:ext="edit" data="1"/>
    </o:shapelayout>
  </w:shapeDefaults>
  <w:decimalSymbol w:val="."/>
  <w:listSeparator w:val=","/>
  <w14:docId w14:val="43E60822"/>
  <w15:docId w15:val="{02955833-D52A-4C6F-A671-8137D1E92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636"/>
  </w:style>
  <w:style w:type="paragraph" w:styleId="Heading1">
    <w:name w:val="heading 1"/>
    <w:basedOn w:val="Normal"/>
    <w:next w:val="Normal"/>
    <w:link w:val="Heading1Char"/>
    <w:uiPriority w:val="9"/>
    <w:qFormat/>
    <w:rsid w:val="00EE740F"/>
    <w:pPr>
      <w:keepNext/>
      <w:keepLines/>
      <w:pageBreakBefore/>
      <w:spacing w:before="480" w:after="840"/>
      <w:outlineLvl w:val="0"/>
    </w:pPr>
    <w:rPr>
      <w:rFonts w:ascii="Arial" w:eastAsiaTheme="majorEastAsia" w:hAnsi="Arial" w:cstheme="majorBidi"/>
      <w:bCs/>
      <w:i/>
      <w:color w:val="365F91" w:themeColor="accent1" w:themeShade="BF"/>
      <w:sz w:val="44"/>
      <w:szCs w:val="28"/>
    </w:rPr>
  </w:style>
  <w:style w:type="paragraph" w:styleId="Heading2">
    <w:name w:val="heading 2"/>
    <w:basedOn w:val="Normal"/>
    <w:next w:val="Normal"/>
    <w:link w:val="Heading2Char"/>
    <w:uiPriority w:val="9"/>
    <w:unhideWhenUsed/>
    <w:qFormat/>
    <w:rsid w:val="00CC4DAA"/>
    <w:pPr>
      <w:keepNext/>
      <w:keepLines/>
      <w:pBdr>
        <w:bottom w:val="single" w:sz="4" w:space="0" w:color="7F7F7F" w:themeColor="text1" w:themeTint="80"/>
      </w:pBdr>
      <w:spacing w:before="360" w:after="240"/>
      <w:contextualSpacing/>
      <w:outlineLvl w:val="1"/>
    </w:pPr>
    <w:rPr>
      <w:rFonts w:ascii="Arial" w:eastAsiaTheme="majorEastAsia" w:hAnsi="Arial" w:cstheme="majorBidi"/>
      <w:bCs/>
      <w:i/>
      <w:color w:val="404040" w:themeColor="text1" w:themeTint="BF"/>
      <w:sz w:val="28"/>
      <w:szCs w:val="26"/>
    </w:rPr>
  </w:style>
  <w:style w:type="paragraph" w:styleId="Heading3">
    <w:name w:val="heading 3"/>
    <w:basedOn w:val="Normal"/>
    <w:next w:val="Normal"/>
    <w:link w:val="Heading3Char"/>
    <w:uiPriority w:val="9"/>
    <w:unhideWhenUsed/>
    <w:qFormat/>
    <w:rsid w:val="00057B3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1739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HeaderChar">
    <w:name w:val="Header Char"/>
    <w:basedOn w:val="DefaultParagraphFont"/>
    <w:link w:val="Header"/>
    <w:uiPriority w:val="99"/>
    <w:rsid w:val="00CC4DAA"/>
    <w:rPr>
      <w:rFonts w:ascii="Arial" w:hAnsi="Arial"/>
      <w:i/>
      <w:color w:val="404040" w:themeColor="text1" w:themeTint="BF"/>
      <w:sz w:val="18"/>
    </w:rPr>
  </w:style>
  <w:style w:type="paragraph" w:styleId="Footer">
    <w:name w:val="footer"/>
    <w:basedOn w:val="Normal"/>
    <w:link w:val="FooterChar"/>
    <w:uiPriority w:val="99"/>
    <w:unhideWhenUsed/>
    <w:rsid w:val="00CC4DAA"/>
    <w:pPr>
      <w:tabs>
        <w:tab w:val="center" w:pos="4513"/>
        <w:tab w:val="right" w:pos="9026"/>
      </w:tabs>
      <w:spacing w:after="0" w:line="240" w:lineRule="auto"/>
    </w:pPr>
    <w:rPr>
      <w:rFonts w:ascii="Arial" w:hAnsi="Arial"/>
      <w:i/>
      <w:color w:val="404040" w:themeColor="text1" w:themeTint="BF"/>
      <w:sz w:val="18"/>
    </w:rPr>
  </w:style>
  <w:style w:type="character" w:customStyle="1" w:styleId="FooterChar">
    <w:name w:val="Footer Char"/>
    <w:basedOn w:val="DefaultParagraphFont"/>
    <w:link w:val="Footer"/>
    <w:uiPriority w:val="99"/>
    <w:rsid w:val="00CC4DAA"/>
    <w:rPr>
      <w:rFonts w:ascii="Arial" w:hAnsi="Arial"/>
      <w:i/>
      <w:color w:val="404040" w:themeColor="text1" w:themeTint="BF"/>
      <w:sz w:val="18"/>
    </w:rPr>
  </w:style>
  <w:style w:type="character" w:customStyle="1" w:styleId="Heading1Char">
    <w:name w:val="Heading 1 Char"/>
    <w:basedOn w:val="DefaultParagraphFont"/>
    <w:link w:val="Heading1"/>
    <w:uiPriority w:val="9"/>
    <w:rsid w:val="00EE740F"/>
    <w:rPr>
      <w:rFonts w:ascii="Arial" w:eastAsiaTheme="majorEastAsia" w:hAnsi="Arial" w:cstheme="majorBidi"/>
      <w:bCs/>
      <w:i/>
      <w:color w:val="365F91" w:themeColor="accent1" w:themeShade="BF"/>
      <w:sz w:val="44"/>
      <w:szCs w:val="28"/>
    </w:rPr>
  </w:style>
  <w:style w:type="paragraph" w:styleId="BodyText">
    <w:name w:val="Body Text"/>
    <w:basedOn w:val="Normal"/>
    <w:link w:val="BodyTextChar"/>
    <w:uiPriority w:val="99"/>
    <w:unhideWhenUsed/>
    <w:rsid w:val="0050731E"/>
    <w:pPr>
      <w:spacing w:after="120"/>
    </w:pPr>
    <w:rPr>
      <w:rFonts w:ascii="Arial" w:hAnsi="Arial"/>
      <w:sz w:val="18"/>
    </w:rPr>
  </w:style>
  <w:style w:type="character" w:customStyle="1" w:styleId="BodyTextChar">
    <w:name w:val="Body Text Char"/>
    <w:basedOn w:val="DefaultParagraphFont"/>
    <w:link w:val="BodyText"/>
    <w:uiPriority w:val="99"/>
    <w:rsid w:val="0050731E"/>
    <w:rPr>
      <w:rFonts w:ascii="Arial" w:hAnsi="Arial"/>
      <w:sz w:val="18"/>
    </w:rPr>
  </w:style>
  <w:style w:type="character" w:customStyle="1" w:styleId="Heading2Char">
    <w:name w:val="Heading 2 Char"/>
    <w:basedOn w:val="DefaultParagraphFont"/>
    <w:link w:val="Heading2"/>
    <w:uiPriority w:val="9"/>
    <w:rsid w:val="00CC4DAA"/>
    <w:rPr>
      <w:rFonts w:ascii="Arial" w:eastAsiaTheme="majorEastAsia" w:hAnsi="Arial" w:cstheme="majorBidi"/>
      <w:bCs/>
      <w:i/>
      <w:color w:val="404040" w:themeColor="text1" w:themeTint="BF"/>
      <w:sz w:val="28"/>
      <w:szCs w:val="26"/>
    </w:rPr>
  </w:style>
  <w:style w:type="table" w:styleId="TableGrid">
    <w:name w:val="Table Grid"/>
    <w:basedOn w:val="TableNormal"/>
    <w:uiPriority w:val="39"/>
    <w:rsid w:val="0097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aldata">
    <w:name w:val="General data"/>
    <w:basedOn w:val="TableNormal"/>
    <w:uiPriority w:val="99"/>
    <w:rsid w:val="00D413DF"/>
    <w:pPr>
      <w:spacing w:before="40" w:after="40" w:line="240" w:lineRule="auto"/>
      <w:jc w:val="center"/>
    </w:pPr>
    <w:rPr>
      <w:rFonts w:ascii="Arial" w:hAnsi="Arial"/>
      <w:color w:val="404040" w:themeColor="text1" w:themeTint="BF"/>
      <w:sz w:val="16"/>
    </w:rPr>
    <w:tblPr>
      <w:tblStyleRowBandSize w:val="1"/>
      <w:tblInd w:w="6" w:type="dxa"/>
      <w:tblBorders>
        <w:insideV w:val="single" w:sz="4" w:space="0" w:color="7F7F7F" w:themeColor="text1" w:themeTint="80"/>
      </w:tblBorders>
      <w:tblCellMar>
        <w:left w:w="0" w:type="dxa"/>
        <w:right w:w="0" w:type="dxa"/>
      </w:tblCellMar>
    </w:tblPr>
    <w:tcPr>
      <w:vAlign w:val="center"/>
    </w:tcPr>
    <w:tblStylePr w:type="firstRow">
      <w:rPr>
        <w:rFonts w:ascii="Arial" w:hAnsi="Arial"/>
        <w:b/>
        <w:color w:val="365F91" w:themeColor="accent1" w:themeShade="BF"/>
        <w:sz w:val="16"/>
      </w:rPr>
      <w:tblPr/>
      <w:tcPr>
        <w:tcBorders>
          <w:top w:val="nil"/>
          <w:left w:val="nil"/>
          <w:bottom w:val="single" w:sz="12" w:space="0" w:color="365F91" w:themeColor="accent1" w:themeShade="BF"/>
          <w:right w:val="nil"/>
          <w:insideH w:val="nil"/>
          <w:insideV w:val="nil"/>
          <w:tl2br w:val="nil"/>
          <w:tr2bl w:val="nil"/>
        </w:tcBorders>
      </w:tcPr>
    </w:tblStylePr>
    <w:tblStylePr w:type="lastRow">
      <w:tblPr/>
      <w:tcPr>
        <w:tcBorders>
          <w:top w:val="nil"/>
          <w:left w:val="nil"/>
          <w:bottom w:val="single" w:sz="48" w:space="0" w:color="BCBACC"/>
          <w:right w:val="nil"/>
          <w:insideH w:val="single" w:sz="4" w:space="0" w:color="7F7F7F" w:themeColor="text1" w:themeTint="80"/>
          <w:insideV w:val="single" w:sz="4" w:space="0" w:color="7F7F7F" w:themeColor="text1" w:themeTint="80"/>
          <w:tl2br w:val="nil"/>
          <w:tr2bl w:val="nil"/>
        </w:tcBorders>
      </w:tcPr>
    </w:tblStylePr>
    <w:tblStylePr w:type="firstCol">
      <w:pPr>
        <w:jc w:val="left"/>
      </w:pPr>
    </w:tblStylePr>
    <w:tblStylePr w:type="lastCol">
      <w:pPr>
        <w:jc w:val="right"/>
      </w:pPr>
    </w:tblStylePr>
    <w:tblStylePr w:type="band1Horz">
      <w:tblPr/>
      <w:tcPr>
        <w:shd w:val="clear" w:color="auto" w:fill="FFFFFF" w:themeFill="background1"/>
      </w:tcPr>
    </w:tblStylePr>
  </w:style>
  <w:style w:type="table" w:styleId="LightShading">
    <w:name w:val="Light Shading"/>
    <w:basedOn w:val="TableNormal"/>
    <w:uiPriority w:val="60"/>
    <w:rsid w:val="0050731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IAEtext">
    <w:name w:val="CIAE text"/>
    <w:basedOn w:val="Normal"/>
    <w:qFormat/>
    <w:rsid w:val="00CC4DAA"/>
    <w:pPr>
      <w:spacing w:after="240"/>
    </w:pPr>
    <w:rPr>
      <w:rFonts w:ascii="Arial" w:hAnsi="Arial"/>
      <w:color w:val="404040" w:themeColor="text1" w:themeTint="BF"/>
      <w:sz w:val="18"/>
    </w:rPr>
  </w:style>
  <w:style w:type="paragraph" w:customStyle="1" w:styleId="CIAEtablespace">
    <w:name w:val="CIAE table space"/>
    <w:basedOn w:val="Normal"/>
    <w:qFormat/>
    <w:rsid w:val="00E66506"/>
    <w:pPr>
      <w:spacing w:after="0" w:line="240" w:lineRule="auto"/>
    </w:pPr>
    <w:rPr>
      <w:rFonts w:ascii="Arial" w:hAnsi="Arial"/>
      <w:color w:val="FF0000"/>
      <w:sz w:val="18"/>
    </w:rPr>
  </w:style>
  <w:style w:type="paragraph" w:styleId="BalloonText">
    <w:name w:val="Balloon Text"/>
    <w:basedOn w:val="Normal"/>
    <w:link w:val="BalloonTextChar"/>
    <w:uiPriority w:val="99"/>
    <w:semiHidden/>
    <w:unhideWhenUsed/>
    <w:rsid w:val="0052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002"/>
    <w:rPr>
      <w:rFonts w:ascii="Tahoma" w:hAnsi="Tahoma" w:cs="Tahoma"/>
      <w:sz w:val="16"/>
      <w:szCs w:val="16"/>
    </w:rPr>
  </w:style>
  <w:style w:type="paragraph" w:customStyle="1" w:styleId="CIAEmap">
    <w:name w:val="CIAE map"/>
    <w:qFormat/>
    <w:rsid w:val="00CF4937"/>
    <w:pPr>
      <w:keepNext/>
      <w:pBdr>
        <w:top w:val="single" w:sz="12" w:space="1" w:color="365F91" w:themeColor="accent1" w:themeShade="BF"/>
        <w:bottom w:val="single" w:sz="48" w:space="1" w:color="BCBACC"/>
      </w:pBdr>
      <w:spacing w:after="0" w:line="240" w:lineRule="auto"/>
      <w:ind w:left="6" w:right="6"/>
      <w:jc w:val="center"/>
    </w:pPr>
    <w:rPr>
      <w:rFonts w:ascii="Arial" w:hAnsi="Arial"/>
      <w:color w:val="7F7F7F" w:themeColor="text1" w:themeTint="80"/>
      <w:sz w:val="18"/>
    </w:rPr>
  </w:style>
  <w:style w:type="paragraph" w:customStyle="1" w:styleId="CIAEflag">
    <w:name w:val="CIAE flag"/>
    <w:basedOn w:val="CIAEtext"/>
    <w:qFormat/>
    <w:rsid w:val="002F3244"/>
    <w:pPr>
      <w:keepNext/>
      <w:spacing w:after="480" w:line="240" w:lineRule="auto"/>
      <w:ind w:right="-227"/>
      <w:jc w:val="right"/>
    </w:pPr>
    <w:rPr>
      <w:sz w:val="120"/>
    </w:rPr>
  </w:style>
  <w:style w:type="paragraph" w:customStyle="1" w:styleId="CIAEtablefootnote">
    <w:name w:val="CIAE table footnote"/>
    <w:basedOn w:val="CIAEtext"/>
    <w:qFormat/>
    <w:rsid w:val="007605B4"/>
    <w:pPr>
      <w:spacing w:before="120"/>
      <w:contextualSpacing/>
    </w:pPr>
    <w:rPr>
      <w:i/>
      <w:sz w:val="16"/>
    </w:rPr>
  </w:style>
  <w:style w:type="character" w:customStyle="1" w:styleId="Heading3Char">
    <w:name w:val="Heading 3 Char"/>
    <w:basedOn w:val="DefaultParagraphFont"/>
    <w:link w:val="Heading3"/>
    <w:uiPriority w:val="9"/>
    <w:rsid w:val="00057B3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C02D0"/>
    <w:rPr>
      <w:color w:val="0000FF" w:themeColor="hyperlink"/>
      <w:u w:val="single"/>
    </w:rPr>
  </w:style>
  <w:style w:type="paragraph" w:customStyle="1" w:styleId="photoannotation">
    <w:name w:val="photo annotation"/>
    <w:basedOn w:val="CIAEtext"/>
    <w:qFormat/>
    <w:rsid w:val="00A4371D"/>
    <w:pPr>
      <w:spacing w:after="120"/>
    </w:pPr>
    <w:rPr>
      <w:i/>
    </w:rPr>
  </w:style>
  <w:style w:type="paragraph" w:customStyle="1" w:styleId="Figure-Table">
    <w:name w:val="Figure-Table"/>
    <w:basedOn w:val="CIAEtext"/>
    <w:qFormat/>
    <w:rsid w:val="00494CA0"/>
    <w:pPr>
      <w:keepNext/>
      <w:keepLines/>
      <w:spacing w:before="240" w:after="120"/>
      <w:contextualSpacing/>
    </w:pPr>
    <w:rPr>
      <w:b/>
    </w:rPr>
  </w:style>
  <w:style w:type="paragraph" w:customStyle="1" w:styleId="INSIGHTSplaceholder">
    <w:name w:val="INSIGHTS place holder"/>
    <w:basedOn w:val="CIAEtablespace"/>
    <w:qFormat/>
    <w:rsid w:val="00080E08"/>
    <w:pPr>
      <w:pageBreakBefore/>
      <w:numPr>
        <w:numId w:val="2"/>
      </w:numPr>
      <w:shd w:val="clear" w:color="auto" w:fill="FFFFFF" w:themeFill="background1"/>
      <w:ind w:left="714" w:hanging="357"/>
    </w:pPr>
    <w:rPr>
      <w:i/>
      <w:sz w:val="32"/>
    </w:rPr>
  </w:style>
  <w:style w:type="character" w:styleId="CommentReference">
    <w:name w:val="annotation reference"/>
    <w:basedOn w:val="DefaultParagraphFont"/>
    <w:uiPriority w:val="99"/>
    <w:semiHidden/>
    <w:unhideWhenUsed/>
    <w:rsid w:val="00344C4F"/>
    <w:rPr>
      <w:sz w:val="16"/>
      <w:szCs w:val="16"/>
    </w:rPr>
  </w:style>
  <w:style w:type="paragraph" w:styleId="CommentText">
    <w:name w:val="annotation text"/>
    <w:basedOn w:val="Normal"/>
    <w:link w:val="CommentTextChar"/>
    <w:uiPriority w:val="99"/>
    <w:unhideWhenUsed/>
    <w:rsid w:val="00344C4F"/>
    <w:pPr>
      <w:spacing w:line="240" w:lineRule="auto"/>
    </w:pPr>
    <w:rPr>
      <w:sz w:val="20"/>
      <w:szCs w:val="20"/>
    </w:rPr>
  </w:style>
  <w:style w:type="character" w:customStyle="1" w:styleId="CommentTextChar">
    <w:name w:val="Comment Text Char"/>
    <w:basedOn w:val="DefaultParagraphFont"/>
    <w:link w:val="CommentText"/>
    <w:uiPriority w:val="99"/>
    <w:rsid w:val="00344C4F"/>
    <w:rPr>
      <w:sz w:val="20"/>
      <w:szCs w:val="20"/>
    </w:rPr>
  </w:style>
  <w:style w:type="paragraph" w:styleId="CommentSubject">
    <w:name w:val="annotation subject"/>
    <w:basedOn w:val="CommentText"/>
    <w:next w:val="CommentText"/>
    <w:link w:val="CommentSubjectChar"/>
    <w:uiPriority w:val="99"/>
    <w:semiHidden/>
    <w:unhideWhenUsed/>
    <w:rsid w:val="00344C4F"/>
    <w:rPr>
      <w:b/>
      <w:bCs/>
    </w:rPr>
  </w:style>
  <w:style w:type="character" w:customStyle="1" w:styleId="CommentSubjectChar">
    <w:name w:val="Comment Subject Char"/>
    <w:basedOn w:val="CommentTextChar"/>
    <w:link w:val="CommentSubject"/>
    <w:uiPriority w:val="99"/>
    <w:semiHidden/>
    <w:rsid w:val="00344C4F"/>
    <w:rPr>
      <w:b/>
      <w:bCs/>
      <w:sz w:val="20"/>
      <w:szCs w:val="20"/>
    </w:rPr>
  </w:style>
  <w:style w:type="character" w:styleId="FollowedHyperlink">
    <w:name w:val="FollowedHyperlink"/>
    <w:basedOn w:val="DefaultParagraphFont"/>
    <w:uiPriority w:val="99"/>
    <w:semiHidden/>
    <w:unhideWhenUsed/>
    <w:rsid w:val="00E73153"/>
    <w:rPr>
      <w:color w:val="800080" w:themeColor="followedHyperlink"/>
      <w:u w:val="single"/>
    </w:rPr>
  </w:style>
  <w:style w:type="character" w:customStyle="1" w:styleId="Heading5Char">
    <w:name w:val="Heading 5 Char"/>
    <w:basedOn w:val="DefaultParagraphFont"/>
    <w:link w:val="Heading5"/>
    <w:uiPriority w:val="9"/>
    <w:semiHidden/>
    <w:rsid w:val="00F17395"/>
    <w:rPr>
      <w:rFonts w:asciiTheme="majorHAnsi" w:eastAsiaTheme="majorEastAsia" w:hAnsiTheme="majorHAnsi" w:cstheme="majorBidi"/>
      <w:color w:val="243F60" w:themeColor="accent1" w:themeShade="7F"/>
    </w:rPr>
  </w:style>
  <w:style w:type="paragraph" w:customStyle="1" w:styleId="CIAEflagsm">
    <w:name w:val="CIAE flag sm"/>
    <w:basedOn w:val="CIAEtext"/>
    <w:qFormat/>
    <w:rsid w:val="00E04A8B"/>
    <w:pPr>
      <w:keepNext/>
      <w:spacing w:before="240" w:after="120" w:line="240" w:lineRule="auto"/>
      <w:ind w:right="-113"/>
      <w:jc w:val="right"/>
    </w:pPr>
    <w:rPr>
      <w:noProof/>
      <w:lang w:eastAsia="en-GB"/>
    </w:rPr>
  </w:style>
  <w:style w:type="paragraph" w:styleId="NormalWeb">
    <w:name w:val="Normal (Web)"/>
    <w:basedOn w:val="Normal"/>
    <w:uiPriority w:val="99"/>
    <w:semiHidden/>
    <w:unhideWhenUsed/>
    <w:rsid w:val="00BF358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countryname">
    <w:name w:val="Table - country name"/>
    <w:basedOn w:val="CIAEtablespace"/>
    <w:qFormat/>
    <w:rsid w:val="00825313"/>
    <w:pPr>
      <w:keepNext/>
      <w:spacing w:after="120"/>
      <w:jc w:val="right"/>
    </w:pPr>
    <w:rPr>
      <w:i/>
      <w:color w:val="7F7F7F" w:themeColor="text1" w:themeTint="80"/>
    </w:rPr>
  </w:style>
  <w:style w:type="paragraph" w:styleId="Revision">
    <w:name w:val="Revision"/>
    <w:hidden/>
    <w:uiPriority w:val="99"/>
    <w:semiHidden/>
    <w:rsid w:val="00754CAF"/>
    <w:pPr>
      <w:spacing w:after="0" w:line="240" w:lineRule="auto"/>
    </w:pPr>
  </w:style>
  <w:style w:type="paragraph" w:styleId="IntenseQuote">
    <w:name w:val="Intense Quote"/>
    <w:basedOn w:val="Normal"/>
    <w:next w:val="Normal"/>
    <w:link w:val="IntenseQuoteChar"/>
    <w:uiPriority w:val="30"/>
    <w:qFormat/>
    <w:rsid w:val="003B79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9D5"/>
    <w:rPr>
      <w:b/>
      <w:bCs/>
      <w:i/>
      <w:iCs/>
      <w:color w:val="4F81BD" w:themeColor="accent1"/>
    </w:rPr>
  </w:style>
  <w:style w:type="paragraph" w:customStyle="1" w:styleId="CIAEIntenseQuote">
    <w:name w:val="CIAE Intense Quote"/>
    <w:basedOn w:val="IntenseQuote"/>
    <w:qFormat/>
    <w:rsid w:val="00DF6312"/>
    <w:pPr>
      <w:pBdr>
        <w:bottom w:val="none" w:sz="0" w:space="0" w:color="auto"/>
      </w:pBdr>
      <w:spacing w:before="0" w:after="60" w:line="264" w:lineRule="auto"/>
      <w:ind w:left="0" w:right="0"/>
    </w:pPr>
    <w:rPr>
      <w:rFonts w:ascii="Arial" w:hAnsi="Arial"/>
      <w:color w:val="365F9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659">
      <w:bodyDiv w:val="1"/>
      <w:marLeft w:val="0"/>
      <w:marRight w:val="0"/>
      <w:marTop w:val="0"/>
      <w:marBottom w:val="0"/>
      <w:divBdr>
        <w:top w:val="none" w:sz="0" w:space="0" w:color="auto"/>
        <w:left w:val="none" w:sz="0" w:space="0" w:color="auto"/>
        <w:bottom w:val="none" w:sz="0" w:space="0" w:color="auto"/>
        <w:right w:val="none" w:sz="0" w:space="0" w:color="auto"/>
      </w:divBdr>
    </w:div>
    <w:div w:id="156577912">
      <w:bodyDiv w:val="1"/>
      <w:marLeft w:val="0"/>
      <w:marRight w:val="0"/>
      <w:marTop w:val="0"/>
      <w:marBottom w:val="0"/>
      <w:divBdr>
        <w:top w:val="none" w:sz="0" w:space="0" w:color="auto"/>
        <w:left w:val="none" w:sz="0" w:space="0" w:color="auto"/>
        <w:bottom w:val="none" w:sz="0" w:space="0" w:color="auto"/>
        <w:right w:val="none" w:sz="0" w:space="0" w:color="auto"/>
      </w:divBdr>
    </w:div>
    <w:div w:id="164638856">
      <w:bodyDiv w:val="1"/>
      <w:marLeft w:val="0"/>
      <w:marRight w:val="0"/>
      <w:marTop w:val="0"/>
      <w:marBottom w:val="0"/>
      <w:divBdr>
        <w:top w:val="none" w:sz="0" w:space="0" w:color="auto"/>
        <w:left w:val="none" w:sz="0" w:space="0" w:color="auto"/>
        <w:bottom w:val="none" w:sz="0" w:space="0" w:color="auto"/>
        <w:right w:val="none" w:sz="0" w:space="0" w:color="auto"/>
      </w:divBdr>
    </w:div>
    <w:div w:id="315887762">
      <w:bodyDiv w:val="1"/>
      <w:marLeft w:val="0"/>
      <w:marRight w:val="0"/>
      <w:marTop w:val="0"/>
      <w:marBottom w:val="0"/>
      <w:divBdr>
        <w:top w:val="none" w:sz="0" w:space="0" w:color="auto"/>
        <w:left w:val="none" w:sz="0" w:space="0" w:color="auto"/>
        <w:bottom w:val="none" w:sz="0" w:space="0" w:color="auto"/>
        <w:right w:val="none" w:sz="0" w:space="0" w:color="auto"/>
      </w:divBdr>
    </w:div>
    <w:div w:id="498270382">
      <w:bodyDiv w:val="1"/>
      <w:marLeft w:val="0"/>
      <w:marRight w:val="0"/>
      <w:marTop w:val="0"/>
      <w:marBottom w:val="0"/>
      <w:divBdr>
        <w:top w:val="none" w:sz="0" w:space="0" w:color="auto"/>
        <w:left w:val="none" w:sz="0" w:space="0" w:color="auto"/>
        <w:bottom w:val="none" w:sz="0" w:space="0" w:color="auto"/>
        <w:right w:val="none" w:sz="0" w:space="0" w:color="auto"/>
      </w:divBdr>
    </w:div>
    <w:div w:id="566263305">
      <w:bodyDiv w:val="1"/>
      <w:marLeft w:val="0"/>
      <w:marRight w:val="0"/>
      <w:marTop w:val="0"/>
      <w:marBottom w:val="0"/>
      <w:divBdr>
        <w:top w:val="none" w:sz="0" w:space="0" w:color="auto"/>
        <w:left w:val="none" w:sz="0" w:space="0" w:color="auto"/>
        <w:bottom w:val="none" w:sz="0" w:space="0" w:color="auto"/>
        <w:right w:val="none" w:sz="0" w:space="0" w:color="auto"/>
      </w:divBdr>
    </w:div>
    <w:div w:id="591934064">
      <w:bodyDiv w:val="1"/>
      <w:marLeft w:val="0"/>
      <w:marRight w:val="0"/>
      <w:marTop w:val="0"/>
      <w:marBottom w:val="0"/>
      <w:divBdr>
        <w:top w:val="none" w:sz="0" w:space="0" w:color="auto"/>
        <w:left w:val="none" w:sz="0" w:space="0" w:color="auto"/>
        <w:bottom w:val="none" w:sz="0" w:space="0" w:color="auto"/>
        <w:right w:val="none" w:sz="0" w:space="0" w:color="auto"/>
      </w:divBdr>
    </w:div>
    <w:div w:id="759906760">
      <w:bodyDiv w:val="1"/>
      <w:marLeft w:val="0"/>
      <w:marRight w:val="0"/>
      <w:marTop w:val="0"/>
      <w:marBottom w:val="0"/>
      <w:divBdr>
        <w:top w:val="none" w:sz="0" w:space="0" w:color="auto"/>
        <w:left w:val="none" w:sz="0" w:space="0" w:color="auto"/>
        <w:bottom w:val="none" w:sz="0" w:space="0" w:color="auto"/>
        <w:right w:val="none" w:sz="0" w:space="0" w:color="auto"/>
      </w:divBdr>
    </w:div>
    <w:div w:id="852844459">
      <w:bodyDiv w:val="1"/>
      <w:marLeft w:val="0"/>
      <w:marRight w:val="0"/>
      <w:marTop w:val="0"/>
      <w:marBottom w:val="0"/>
      <w:divBdr>
        <w:top w:val="none" w:sz="0" w:space="0" w:color="auto"/>
        <w:left w:val="none" w:sz="0" w:space="0" w:color="auto"/>
        <w:bottom w:val="none" w:sz="0" w:space="0" w:color="auto"/>
        <w:right w:val="none" w:sz="0" w:space="0" w:color="auto"/>
      </w:divBdr>
    </w:div>
    <w:div w:id="876623560">
      <w:bodyDiv w:val="1"/>
      <w:marLeft w:val="0"/>
      <w:marRight w:val="0"/>
      <w:marTop w:val="0"/>
      <w:marBottom w:val="0"/>
      <w:divBdr>
        <w:top w:val="none" w:sz="0" w:space="0" w:color="auto"/>
        <w:left w:val="none" w:sz="0" w:space="0" w:color="auto"/>
        <w:bottom w:val="none" w:sz="0" w:space="0" w:color="auto"/>
        <w:right w:val="none" w:sz="0" w:space="0" w:color="auto"/>
      </w:divBdr>
    </w:div>
    <w:div w:id="1062829559">
      <w:bodyDiv w:val="1"/>
      <w:marLeft w:val="0"/>
      <w:marRight w:val="0"/>
      <w:marTop w:val="0"/>
      <w:marBottom w:val="0"/>
      <w:divBdr>
        <w:top w:val="none" w:sz="0" w:space="0" w:color="auto"/>
        <w:left w:val="none" w:sz="0" w:space="0" w:color="auto"/>
        <w:bottom w:val="none" w:sz="0" w:space="0" w:color="auto"/>
        <w:right w:val="none" w:sz="0" w:space="0" w:color="auto"/>
      </w:divBdr>
    </w:div>
    <w:div w:id="1116406922">
      <w:bodyDiv w:val="1"/>
      <w:marLeft w:val="0"/>
      <w:marRight w:val="0"/>
      <w:marTop w:val="0"/>
      <w:marBottom w:val="0"/>
      <w:divBdr>
        <w:top w:val="none" w:sz="0" w:space="0" w:color="auto"/>
        <w:left w:val="none" w:sz="0" w:space="0" w:color="auto"/>
        <w:bottom w:val="none" w:sz="0" w:space="0" w:color="auto"/>
        <w:right w:val="none" w:sz="0" w:space="0" w:color="auto"/>
      </w:divBdr>
    </w:div>
    <w:div w:id="1444836713">
      <w:bodyDiv w:val="1"/>
      <w:marLeft w:val="0"/>
      <w:marRight w:val="0"/>
      <w:marTop w:val="0"/>
      <w:marBottom w:val="0"/>
      <w:divBdr>
        <w:top w:val="none" w:sz="0" w:space="0" w:color="auto"/>
        <w:left w:val="none" w:sz="0" w:space="0" w:color="auto"/>
        <w:bottom w:val="none" w:sz="0" w:space="0" w:color="auto"/>
        <w:right w:val="none" w:sz="0" w:space="0" w:color="auto"/>
      </w:divBdr>
    </w:div>
    <w:div w:id="1464542084">
      <w:bodyDiv w:val="1"/>
      <w:marLeft w:val="0"/>
      <w:marRight w:val="0"/>
      <w:marTop w:val="0"/>
      <w:marBottom w:val="0"/>
      <w:divBdr>
        <w:top w:val="none" w:sz="0" w:space="0" w:color="auto"/>
        <w:left w:val="none" w:sz="0" w:space="0" w:color="auto"/>
        <w:bottom w:val="none" w:sz="0" w:space="0" w:color="auto"/>
        <w:right w:val="none" w:sz="0" w:space="0" w:color="auto"/>
      </w:divBdr>
    </w:div>
    <w:div w:id="1504589054">
      <w:bodyDiv w:val="1"/>
      <w:marLeft w:val="0"/>
      <w:marRight w:val="0"/>
      <w:marTop w:val="0"/>
      <w:marBottom w:val="0"/>
      <w:divBdr>
        <w:top w:val="none" w:sz="0" w:space="0" w:color="auto"/>
        <w:left w:val="none" w:sz="0" w:space="0" w:color="auto"/>
        <w:bottom w:val="none" w:sz="0" w:space="0" w:color="auto"/>
        <w:right w:val="none" w:sz="0" w:space="0" w:color="auto"/>
      </w:divBdr>
    </w:div>
    <w:div w:id="1621573452">
      <w:bodyDiv w:val="1"/>
      <w:marLeft w:val="0"/>
      <w:marRight w:val="0"/>
      <w:marTop w:val="0"/>
      <w:marBottom w:val="0"/>
      <w:divBdr>
        <w:top w:val="none" w:sz="0" w:space="0" w:color="auto"/>
        <w:left w:val="none" w:sz="0" w:space="0" w:color="auto"/>
        <w:bottom w:val="none" w:sz="0" w:space="0" w:color="auto"/>
        <w:right w:val="none" w:sz="0" w:space="0" w:color="auto"/>
      </w:divBdr>
    </w:div>
    <w:div w:id="1634557076">
      <w:bodyDiv w:val="1"/>
      <w:marLeft w:val="0"/>
      <w:marRight w:val="0"/>
      <w:marTop w:val="0"/>
      <w:marBottom w:val="0"/>
      <w:divBdr>
        <w:top w:val="none" w:sz="0" w:space="0" w:color="auto"/>
        <w:left w:val="none" w:sz="0" w:space="0" w:color="auto"/>
        <w:bottom w:val="none" w:sz="0" w:space="0" w:color="auto"/>
        <w:right w:val="none" w:sz="0" w:space="0" w:color="auto"/>
      </w:divBdr>
    </w:div>
    <w:div w:id="1680154859">
      <w:bodyDiv w:val="1"/>
      <w:marLeft w:val="0"/>
      <w:marRight w:val="0"/>
      <w:marTop w:val="0"/>
      <w:marBottom w:val="0"/>
      <w:divBdr>
        <w:top w:val="none" w:sz="0" w:space="0" w:color="auto"/>
        <w:left w:val="none" w:sz="0" w:space="0" w:color="auto"/>
        <w:bottom w:val="none" w:sz="0" w:space="0" w:color="auto"/>
        <w:right w:val="none" w:sz="0" w:space="0" w:color="auto"/>
      </w:divBdr>
    </w:div>
    <w:div w:id="1698580081">
      <w:bodyDiv w:val="1"/>
      <w:marLeft w:val="0"/>
      <w:marRight w:val="0"/>
      <w:marTop w:val="0"/>
      <w:marBottom w:val="0"/>
      <w:divBdr>
        <w:top w:val="none" w:sz="0" w:space="0" w:color="auto"/>
        <w:left w:val="none" w:sz="0" w:space="0" w:color="auto"/>
        <w:bottom w:val="none" w:sz="0" w:space="0" w:color="auto"/>
        <w:right w:val="none" w:sz="0" w:space="0" w:color="auto"/>
      </w:divBdr>
    </w:div>
    <w:div w:id="1774325938">
      <w:bodyDiv w:val="1"/>
      <w:marLeft w:val="0"/>
      <w:marRight w:val="0"/>
      <w:marTop w:val="0"/>
      <w:marBottom w:val="0"/>
      <w:divBdr>
        <w:top w:val="none" w:sz="0" w:space="0" w:color="auto"/>
        <w:left w:val="none" w:sz="0" w:space="0" w:color="auto"/>
        <w:bottom w:val="none" w:sz="0" w:space="0" w:color="auto"/>
        <w:right w:val="none" w:sz="0" w:space="0" w:color="auto"/>
      </w:divBdr>
    </w:div>
    <w:div w:id="1783496790">
      <w:bodyDiv w:val="1"/>
      <w:marLeft w:val="0"/>
      <w:marRight w:val="0"/>
      <w:marTop w:val="0"/>
      <w:marBottom w:val="0"/>
      <w:divBdr>
        <w:top w:val="none" w:sz="0" w:space="0" w:color="auto"/>
        <w:left w:val="none" w:sz="0" w:space="0" w:color="auto"/>
        <w:bottom w:val="none" w:sz="0" w:space="0" w:color="auto"/>
        <w:right w:val="none" w:sz="0" w:space="0" w:color="auto"/>
      </w:divBdr>
    </w:div>
    <w:div w:id="1826430826">
      <w:bodyDiv w:val="1"/>
      <w:marLeft w:val="0"/>
      <w:marRight w:val="0"/>
      <w:marTop w:val="0"/>
      <w:marBottom w:val="0"/>
      <w:divBdr>
        <w:top w:val="none" w:sz="0" w:space="0" w:color="auto"/>
        <w:left w:val="none" w:sz="0" w:space="0" w:color="auto"/>
        <w:bottom w:val="none" w:sz="0" w:space="0" w:color="auto"/>
        <w:right w:val="none" w:sz="0" w:space="0" w:color="auto"/>
      </w:divBdr>
    </w:div>
    <w:div w:id="1881164219">
      <w:bodyDiv w:val="1"/>
      <w:marLeft w:val="0"/>
      <w:marRight w:val="0"/>
      <w:marTop w:val="0"/>
      <w:marBottom w:val="0"/>
      <w:divBdr>
        <w:top w:val="none" w:sz="0" w:space="0" w:color="auto"/>
        <w:left w:val="none" w:sz="0" w:space="0" w:color="auto"/>
        <w:bottom w:val="none" w:sz="0" w:space="0" w:color="auto"/>
        <w:right w:val="none" w:sz="0" w:space="0" w:color="auto"/>
      </w:divBdr>
    </w:div>
    <w:div w:id="1927029392">
      <w:bodyDiv w:val="1"/>
      <w:marLeft w:val="0"/>
      <w:marRight w:val="0"/>
      <w:marTop w:val="0"/>
      <w:marBottom w:val="0"/>
      <w:divBdr>
        <w:top w:val="none" w:sz="0" w:space="0" w:color="auto"/>
        <w:left w:val="none" w:sz="0" w:space="0" w:color="auto"/>
        <w:bottom w:val="none" w:sz="0" w:space="0" w:color="auto"/>
        <w:right w:val="none" w:sz="0" w:space="0" w:color="auto"/>
      </w:divBdr>
    </w:div>
    <w:div w:id="1930498856">
      <w:bodyDiv w:val="1"/>
      <w:marLeft w:val="0"/>
      <w:marRight w:val="0"/>
      <w:marTop w:val="0"/>
      <w:marBottom w:val="0"/>
      <w:divBdr>
        <w:top w:val="none" w:sz="0" w:space="0" w:color="auto"/>
        <w:left w:val="none" w:sz="0" w:space="0" w:color="auto"/>
        <w:bottom w:val="none" w:sz="0" w:space="0" w:color="auto"/>
        <w:right w:val="none" w:sz="0" w:space="0" w:color="auto"/>
      </w:divBdr>
    </w:div>
    <w:div w:id="205666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A10AC-2197-494B-A5B3-BFD89A94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1229</Words>
  <Characters>7006</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Front Cover</vt:lpstr>
      <vt:lpstr/>
      <vt:lpstr>Contents</vt:lpstr>
      <vt:lpstr>Introduction</vt:lpstr>
      <vt:lpstr>Foreword</vt:lpstr>
      <vt:lpstr>From Energy Union to a carbon-neutral Europe via a just transition</vt:lpstr>
      <vt:lpstr>    The vision</vt:lpstr>
      <vt:lpstr>    The challenge</vt:lpstr>
      <vt:lpstr>    The response</vt:lpstr>
      <vt:lpstr>    The social dimension</vt:lpstr>
      <vt:lpstr>    A just transition</vt:lpstr>
      <vt:lpstr>Added value from coal</vt:lpstr>
      <vt:lpstr>    </vt:lpstr>
      <vt:lpstr>International coal market and global energy trends</vt:lpstr>
      <vt:lpstr>    Coal and sustainability</vt:lpstr>
      <vt:lpstr>    Global energy mix and coal</vt:lpstr>
      <vt:lpstr>    World coal resources</vt:lpstr>
      <vt:lpstr>    EU coal resources</vt:lpstr>
      <vt:lpstr>    International coal market</vt:lpstr>
      <vt:lpstr>    Global energy trends</vt:lpstr>
      <vt:lpstr>Bulgaria</vt:lpstr>
      <vt:lpstr>    Lignite</vt:lpstr>
      <vt:lpstr>    Brown coal</vt:lpstr>
      <vt:lpstr>    Hard coal</vt:lpstr>
      <vt:lpstr>Czech Republic</vt:lpstr>
      <vt:lpstr>    Hard coal</vt:lpstr>
      <vt:lpstr>    Brown coal and lignite</vt:lpstr>
      <vt:lpstr>Germany</vt:lpstr>
      <vt:lpstr>    Hard coal</vt:lpstr>
      <vt:lpstr>    Brown coal and lignite</vt:lpstr>
      <vt:lpstr>Greece</vt:lpstr>
      <vt:lpstr>    Lignite</vt:lpstr>
      <vt:lpstr>Hungary</vt:lpstr>
      <vt:lpstr>    Lignite</vt:lpstr>
      <vt:lpstr>    Hard coal</vt:lpstr>
      <vt:lpstr>Poland</vt:lpstr>
      <vt:lpstr>    Hard coal</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EURACOAL</dc:creator>
  <cp:lastModifiedBy>Brian Ricketts - EURACOAL</cp:lastModifiedBy>
  <cp:revision>3</cp:revision>
  <cp:lastPrinted>2020-01-08T22:09:00Z</cp:lastPrinted>
  <dcterms:created xsi:type="dcterms:W3CDTF">2023-07-03T08:06:00Z</dcterms:created>
  <dcterms:modified xsi:type="dcterms:W3CDTF">2023-07-03T08:06:00Z</dcterms:modified>
</cp:coreProperties>
</file>